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945" w:rsidRPr="00960D49" w:rsidRDefault="00504945" w:rsidP="00504945">
      <w:pPr>
        <w:autoSpaceDE w:val="0"/>
        <w:autoSpaceDN w:val="0"/>
        <w:adjustRightInd w:val="0"/>
        <w:jc w:val="right"/>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 xml:space="preserve">Додаток 2 </w:t>
      </w:r>
    </w:p>
    <w:p w:rsidR="00504945" w:rsidRPr="00960D49" w:rsidRDefault="00504945" w:rsidP="00504945">
      <w:pPr>
        <w:autoSpaceDE w:val="0"/>
        <w:autoSpaceDN w:val="0"/>
        <w:adjustRightInd w:val="0"/>
        <w:jc w:val="right"/>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 xml:space="preserve">до розпорядження міського голови </w:t>
      </w:r>
    </w:p>
    <w:p w:rsidR="00504945" w:rsidRDefault="00504945" w:rsidP="00504945">
      <w:pPr>
        <w:autoSpaceDE w:val="0"/>
        <w:autoSpaceDN w:val="0"/>
        <w:adjustRightInd w:val="0"/>
        <w:jc w:val="right"/>
        <w:rPr>
          <w:b/>
          <w:szCs w:val="28"/>
        </w:rPr>
      </w:pPr>
      <w:r w:rsidRPr="00504945">
        <w:rPr>
          <w:rFonts w:ascii="Times New Roman" w:eastAsiaTheme="minorHAnsi" w:hAnsi="Times New Roman"/>
          <w:bCs w:val="0"/>
          <w:color w:val="000000"/>
          <w:szCs w:val="28"/>
          <w:lang w:val="ru-RU" w:eastAsia="en-US"/>
        </w:rPr>
        <w:t xml:space="preserve">24 </w:t>
      </w:r>
      <w:r>
        <w:rPr>
          <w:rFonts w:ascii="Times New Roman" w:eastAsiaTheme="minorHAnsi" w:hAnsi="Times New Roman"/>
          <w:bCs w:val="0"/>
          <w:color w:val="000000"/>
          <w:szCs w:val="28"/>
          <w:lang w:eastAsia="en-US"/>
        </w:rPr>
        <w:t xml:space="preserve">січня </w:t>
      </w:r>
      <w:r w:rsidRPr="00960D49">
        <w:rPr>
          <w:rFonts w:ascii="Times New Roman" w:eastAsiaTheme="minorHAnsi" w:hAnsi="Times New Roman"/>
          <w:bCs w:val="0"/>
          <w:color w:val="000000"/>
          <w:szCs w:val="28"/>
          <w:lang w:eastAsia="en-US"/>
        </w:rPr>
        <w:t xml:space="preserve">2022 року № </w:t>
      </w:r>
      <w:r>
        <w:rPr>
          <w:b/>
          <w:szCs w:val="28"/>
        </w:rPr>
        <w:t>3110-06-РМГ-13-22</w:t>
      </w:r>
    </w:p>
    <w:p w:rsidR="00504945" w:rsidRDefault="00504945" w:rsidP="00504945">
      <w:pPr>
        <w:autoSpaceDE w:val="0"/>
        <w:autoSpaceDN w:val="0"/>
        <w:adjustRightInd w:val="0"/>
        <w:jc w:val="right"/>
        <w:rPr>
          <w:rFonts w:ascii="Times New Roman" w:eastAsiaTheme="minorHAnsi" w:hAnsi="Times New Roman"/>
          <w:bCs w:val="0"/>
          <w:color w:val="000000"/>
          <w:szCs w:val="28"/>
          <w:lang w:eastAsia="en-US"/>
        </w:rPr>
      </w:pPr>
    </w:p>
    <w:p w:rsidR="00504945" w:rsidRPr="00960D49" w:rsidRDefault="00504945" w:rsidP="00504945">
      <w:pPr>
        <w:autoSpaceDE w:val="0"/>
        <w:autoSpaceDN w:val="0"/>
        <w:adjustRightInd w:val="0"/>
        <w:jc w:val="center"/>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ПОРЯДОК</w:t>
      </w:r>
    </w:p>
    <w:p w:rsidR="00504945" w:rsidRDefault="00504945" w:rsidP="00504945">
      <w:pPr>
        <w:autoSpaceDE w:val="0"/>
        <w:autoSpaceDN w:val="0"/>
        <w:adjustRightInd w:val="0"/>
        <w:jc w:val="center"/>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роботи робочої групи з проведення додаткових перевірок фактичного місця проживання/перебування внутрішньо переміщених осіб</w:t>
      </w:r>
    </w:p>
    <w:p w:rsidR="00504945" w:rsidRPr="00960D49" w:rsidRDefault="00504945" w:rsidP="00504945">
      <w:pPr>
        <w:autoSpaceDE w:val="0"/>
        <w:autoSpaceDN w:val="0"/>
        <w:adjustRightInd w:val="0"/>
        <w:jc w:val="center"/>
        <w:rPr>
          <w:rFonts w:ascii="Times New Roman" w:eastAsiaTheme="minorHAnsi" w:hAnsi="Times New Roman"/>
          <w:bCs w:val="0"/>
          <w:color w:val="000000"/>
          <w:szCs w:val="28"/>
          <w:lang w:eastAsia="en-US"/>
        </w:rPr>
      </w:pPr>
    </w:p>
    <w:p w:rsidR="00504945"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 xml:space="preserve">1. Керуючись постановою Кабінету Міністрів України від 08.06.2016 №365 "Деякі питання здійснення соціальних виплат внутрішньо переміщеним особам", цей Порядок визначає механізм проведення додаткових перевірок фактичного місця проживання/перебування внутрішньо переміщеної особи із складанням </w:t>
      </w:r>
      <w:proofErr w:type="spellStart"/>
      <w:r w:rsidRPr="00960D49">
        <w:rPr>
          <w:rFonts w:ascii="Times New Roman" w:eastAsiaTheme="minorHAnsi" w:hAnsi="Times New Roman"/>
          <w:bCs w:val="0"/>
          <w:color w:val="000000"/>
          <w:szCs w:val="28"/>
          <w:lang w:eastAsia="en-US"/>
        </w:rPr>
        <w:t>акта</w:t>
      </w:r>
      <w:proofErr w:type="spellEnd"/>
      <w:r w:rsidRPr="00960D49">
        <w:rPr>
          <w:rFonts w:ascii="Times New Roman" w:eastAsiaTheme="minorHAnsi" w:hAnsi="Times New Roman"/>
          <w:bCs w:val="0"/>
          <w:color w:val="000000"/>
          <w:szCs w:val="28"/>
          <w:lang w:eastAsia="en-US"/>
        </w:rPr>
        <w:t xml:space="preserve"> обстеження матеріально-побутових умов сім`ї. </w:t>
      </w:r>
    </w:p>
    <w:p w:rsidR="00504945"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2. Додаткова перевірка проводиться у разі:</w:t>
      </w:r>
    </w:p>
    <w:p w:rsidR="00504945" w:rsidRDefault="00504945" w:rsidP="00504945">
      <w:pPr>
        <w:autoSpaceDE w:val="0"/>
        <w:autoSpaceDN w:val="0"/>
        <w:adjustRightInd w:val="0"/>
        <w:jc w:val="both"/>
        <w:rPr>
          <w:szCs w:val="28"/>
        </w:rPr>
      </w:pPr>
      <w:r>
        <w:rPr>
          <w:szCs w:val="28"/>
        </w:rPr>
        <w:t>2.1. Наявності офіційної інформації про можливу зміну внутрішньо переміщеною особою фактичного місця проживання/перебування без повідомлення у десятиденний строк про це структурного підрозділу з питань соціального захисту населення за новим фактичним місцем проживання/перебування або отримання такої інформації від територіальних органів Пенсійного фонду України, відділення виконавчої дирекції Фонду соціального страхування від нещасних випадків на виробництві та професійних захворювань України.</w:t>
      </w:r>
    </w:p>
    <w:p w:rsidR="00504945" w:rsidRPr="00960D49" w:rsidRDefault="00504945" w:rsidP="00504945">
      <w:pPr>
        <w:autoSpaceDE w:val="0"/>
        <w:autoSpaceDN w:val="0"/>
        <w:adjustRightInd w:val="0"/>
        <w:jc w:val="both"/>
        <w:rPr>
          <w:rFonts w:ascii="EAN13B Half Height" w:eastAsiaTheme="minorHAnsi" w:hAnsi="EAN13B Half Height" w:cs="EAN13B Half Height"/>
          <w:bCs w:val="0"/>
          <w:color w:val="000000"/>
          <w:szCs w:val="28"/>
          <w:lang w:eastAsia="en-US"/>
        </w:rPr>
      </w:pPr>
      <w:r w:rsidRPr="00960D49">
        <w:rPr>
          <w:rFonts w:ascii="Times New Roman" w:eastAsiaTheme="minorHAnsi" w:hAnsi="Times New Roman"/>
          <w:bCs w:val="0"/>
          <w:color w:val="000000"/>
          <w:szCs w:val="28"/>
          <w:lang w:eastAsia="en-US"/>
        </w:rPr>
        <w:t xml:space="preserve">2.2. Наявності офіційної інформації про повернення внутрішньо переміщеної особи на тимчасово окуповану територію України, до населених пунктів, на території яких органи державної влади тимчасово не здійснюють свої повноваження, чи її виїзду за кордон, або отримання такої інформації від МВС, СБУ, Національної поліції, ДМС, інших органів виконавчої влади та органів місцевого самоврядування, громадських об`єднань волонтерських, благодійних організацій, інших юридичних і фізичних осіб, що надають допомогу внутрішньо переміщеним особам. </w:t>
      </w:r>
    </w:p>
    <w:p w:rsidR="00504945" w:rsidRPr="00960D49" w:rsidRDefault="00504945" w:rsidP="00504945">
      <w:pPr>
        <w:autoSpaceDE w:val="0"/>
        <w:autoSpaceDN w:val="0"/>
        <w:adjustRightInd w:val="0"/>
        <w:jc w:val="both"/>
        <w:rPr>
          <w:rFonts w:ascii="EAN13B Half Height" w:eastAsiaTheme="minorHAnsi" w:hAnsi="EAN13B Half Height" w:cs="EAN13B Half Height"/>
          <w:bCs w:val="0"/>
          <w:color w:val="000000"/>
          <w:szCs w:val="28"/>
          <w:lang w:eastAsia="en-US"/>
        </w:rPr>
      </w:pPr>
      <w:r w:rsidRPr="00960D49">
        <w:rPr>
          <w:rFonts w:ascii="Times New Roman" w:eastAsiaTheme="minorHAnsi" w:hAnsi="Times New Roman"/>
          <w:bCs w:val="0"/>
          <w:color w:val="000000"/>
          <w:szCs w:val="28"/>
          <w:lang w:eastAsia="en-US"/>
        </w:rPr>
        <w:t xml:space="preserve">2.3. Отримання повідомлення від ПАТ "Державний ощадний банк України" про зупинення видаткових операцій за поточним рахунком внаслідок відсутності проходження фізичної ідентифікації внутрішньо переміщеною особою. </w:t>
      </w:r>
    </w:p>
    <w:p w:rsidR="00504945"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2.4. Отримання рекомендацій Міністерства фінансів України за результатами проведення верифікації соціальних виплат із зазначенням конкретних причин для припинення відповідних виплат.</w:t>
      </w:r>
    </w:p>
    <w:p w:rsidR="00504945" w:rsidRPr="00960D49"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 xml:space="preserve">3. За відсутності внутрішньо переміщеної особи за фактичним місцем проживання (перебування) представник робочої групи робить відповідний запис в акті обстеження матеріально-побутових умов сім`ї і залишає внутрішньо переміщеній особі повідомлення про необхідність протягом трьох робочих днів з`явитися до Департаменту соціального захисту та гідності виконавчого комітету </w:t>
      </w:r>
      <w:proofErr w:type="spellStart"/>
      <w:r w:rsidRPr="00960D49">
        <w:rPr>
          <w:rFonts w:ascii="Times New Roman" w:eastAsiaTheme="minorHAnsi" w:hAnsi="Times New Roman"/>
          <w:bCs w:val="0"/>
          <w:color w:val="000000"/>
          <w:szCs w:val="28"/>
          <w:lang w:eastAsia="en-US"/>
        </w:rPr>
        <w:t>Вараської</w:t>
      </w:r>
      <w:proofErr w:type="spellEnd"/>
      <w:r w:rsidRPr="00960D49">
        <w:rPr>
          <w:rFonts w:ascii="Times New Roman" w:eastAsiaTheme="minorHAnsi" w:hAnsi="Times New Roman"/>
          <w:bCs w:val="0"/>
          <w:color w:val="000000"/>
          <w:szCs w:val="28"/>
          <w:lang w:eastAsia="en-US"/>
        </w:rPr>
        <w:t xml:space="preserve"> міської ради для проходження фізичної ідентифікації. </w:t>
      </w:r>
    </w:p>
    <w:p w:rsidR="00504945"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960D49">
        <w:rPr>
          <w:rFonts w:ascii="Times New Roman" w:eastAsiaTheme="minorHAnsi" w:hAnsi="Times New Roman"/>
          <w:bCs w:val="0"/>
          <w:color w:val="000000"/>
          <w:szCs w:val="28"/>
          <w:lang w:eastAsia="en-US"/>
        </w:rPr>
        <w:t xml:space="preserve">4. Представник робочої групи протягом одного робочого дня передає акт обстеження матеріально-побутових умов сім`ї Департаменту соціального захисту та гідності виконавчого комітету </w:t>
      </w:r>
      <w:proofErr w:type="spellStart"/>
      <w:r w:rsidRPr="00960D49">
        <w:rPr>
          <w:rFonts w:ascii="Times New Roman" w:eastAsiaTheme="minorHAnsi" w:hAnsi="Times New Roman"/>
          <w:bCs w:val="0"/>
          <w:color w:val="000000"/>
          <w:szCs w:val="28"/>
          <w:lang w:eastAsia="en-US"/>
        </w:rPr>
        <w:t>Вараської</w:t>
      </w:r>
      <w:proofErr w:type="spellEnd"/>
      <w:r w:rsidRPr="00960D49">
        <w:rPr>
          <w:rFonts w:ascii="Times New Roman" w:eastAsiaTheme="minorHAnsi" w:hAnsi="Times New Roman"/>
          <w:bCs w:val="0"/>
          <w:color w:val="000000"/>
          <w:szCs w:val="28"/>
          <w:lang w:eastAsia="en-US"/>
        </w:rPr>
        <w:t xml:space="preserve"> міської ради.</w:t>
      </w:r>
    </w:p>
    <w:p w:rsidR="00504945" w:rsidRPr="00C15C57" w:rsidRDefault="00504945" w:rsidP="00504945">
      <w:pPr>
        <w:autoSpaceDE w:val="0"/>
        <w:autoSpaceDN w:val="0"/>
        <w:adjustRightInd w:val="0"/>
        <w:rPr>
          <w:rFonts w:ascii="Times New Roman" w:eastAsiaTheme="minorHAnsi" w:hAnsi="Times New Roman"/>
          <w:bCs w:val="0"/>
          <w:color w:val="000000"/>
          <w:szCs w:val="28"/>
          <w:lang w:eastAsia="en-US"/>
        </w:rPr>
      </w:pPr>
      <w:r w:rsidRPr="00C15C57">
        <w:rPr>
          <w:rFonts w:ascii="Times New Roman" w:eastAsiaTheme="minorHAnsi" w:hAnsi="Times New Roman"/>
          <w:bCs w:val="0"/>
          <w:color w:val="000000"/>
          <w:szCs w:val="28"/>
          <w:lang w:eastAsia="en-US"/>
        </w:rPr>
        <w:t xml:space="preserve">Керуючий справами </w:t>
      </w:r>
    </w:p>
    <w:p w:rsidR="00504945" w:rsidRPr="00960D49" w:rsidRDefault="00504945" w:rsidP="00504945">
      <w:pPr>
        <w:autoSpaceDE w:val="0"/>
        <w:autoSpaceDN w:val="0"/>
        <w:adjustRightInd w:val="0"/>
        <w:jc w:val="both"/>
        <w:rPr>
          <w:rFonts w:ascii="Times New Roman" w:eastAsiaTheme="minorHAnsi" w:hAnsi="Times New Roman"/>
          <w:bCs w:val="0"/>
          <w:color w:val="000000"/>
          <w:szCs w:val="28"/>
          <w:lang w:eastAsia="en-US"/>
        </w:rPr>
      </w:pPr>
      <w:r w:rsidRPr="00C15C57">
        <w:rPr>
          <w:rFonts w:ascii="Times New Roman" w:eastAsiaTheme="minorHAnsi" w:hAnsi="Times New Roman"/>
          <w:bCs w:val="0"/>
          <w:color w:val="000000"/>
          <w:szCs w:val="28"/>
          <w:lang w:eastAsia="en-US"/>
        </w:rPr>
        <w:lastRenderedPageBreak/>
        <w:t xml:space="preserve">виконавчого комітету </w:t>
      </w:r>
      <w:r>
        <w:rPr>
          <w:rFonts w:ascii="Times New Roman" w:eastAsiaTheme="minorHAnsi" w:hAnsi="Times New Roman"/>
          <w:bCs w:val="0"/>
          <w:color w:val="000000"/>
          <w:szCs w:val="28"/>
          <w:lang w:eastAsia="en-US"/>
        </w:rPr>
        <w:tab/>
      </w:r>
      <w:r>
        <w:rPr>
          <w:rFonts w:ascii="Times New Roman" w:eastAsiaTheme="minorHAnsi" w:hAnsi="Times New Roman"/>
          <w:bCs w:val="0"/>
          <w:color w:val="000000"/>
          <w:szCs w:val="28"/>
          <w:lang w:eastAsia="en-US"/>
        </w:rPr>
        <w:tab/>
      </w:r>
      <w:r>
        <w:rPr>
          <w:rFonts w:ascii="Times New Roman" w:eastAsiaTheme="minorHAnsi" w:hAnsi="Times New Roman"/>
          <w:bCs w:val="0"/>
          <w:color w:val="000000"/>
          <w:szCs w:val="28"/>
          <w:lang w:eastAsia="en-US"/>
        </w:rPr>
        <w:tab/>
      </w:r>
      <w:r>
        <w:rPr>
          <w:rFonts w:ascii="Times New Roman" w:eastAsiaTheme="minorHAnsi" w:hAnsi="Times New Roman"/>
          <w:bCs w:val="0"/>
          <w:color w:val="000000"/>
          <w:szCs w:val="28"/>
          <w:lang w:eastAsia="en-US"/>
        </w:rPr>
        <w:tab/>
      </w:r>
      <w:r>
        <w:rPr>
          <w:rFonts w:ascii="Times New Roman" w:eastAsiaTheme="minorHAnsi" w:hAnsi="Times New Roman"/>
          <w:bCs w:val="0"/>
          <w:color w:val="000000"/>
          <w:szCs w:val="28"/>
          <w:lang w:eastAsia="en-US"/>
        </w:rPr>
        <w:tab/>
      </w:r>
      <w:r w:rsidRPr="00C15C57">
        <w:rPr>
          <w:rFonts w:ascii="Times New Roman" w:eastAsiaTheme="minorHAnsi" w:hAnsi="Times New Roman"/>
          <w:bCs w:val="0"/>
          <w:color w:val="000000"/>
          <w:szCs w:val="28"/>
          <w:lang w:eastAsia="en-US"/>
        </w:rPr>
        <w:t>Сергій ДЕНЕГА</w:t>
      </w:r>
    </w:p>
    <w:p w:rsidR="003D2105" w:rsidRDefault="003D2105">
      <w:bookmarkStart w:id="0" w:name="_GoBack"/>
      <w:bookmarkEnd w:id="0"/>
    </w:p>
    <w:sectPr w:rsidR="003D2105"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EAN13B Half Height">
    <w:altName w:val="EA N 13 BHalf Height"/>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945"/>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4945"/>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E257D1-F285-4669-BD7F-2565CFDB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945"/>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FE6177"/>
    <w:pPr>
      <w:keepNext/>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1742</Words>
  <Characters>993</Characters>
  <Application>Microsoft Office Word</Application>
  <DocSecurity>0</DocSecurity>
  <Lines>8</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1</cp:revision>
  <dcterms:created xsi:type="dcterms:W3CDTF">2022-02-01T08:23:00Z</dcterms:created>
  <dcterms:modified xsi:type="dcterms:W3CDTF">2022-02-01T08:23:00Z</dcterms:modified>
</cp:coreProperties>
</file>