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6AC2" w:rsidRPr="00576AC2" w:rsidRDefault="00576AC2" w:rsidP="00576AC2">
      <w:pPr>
        <w:spacing w:after="160" w:line="259" w:lineRule="auto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>
        <w:rPr>
          <w:rFonts w:eastAsia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uk-UA" w:eastAsia="uk-UA"/>
        </w:rPr>
        <w:tab/>
      </w:r>
      <w:bookmarkStart w:id="0" w:name="_GoBack"/>
      <w:bookmarkEnd w:id="0"/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>ЗАТВЕРДЖЕНО</w:t>
      </w:r>
    </w:p>
    <w:p w:rsidR="00576AC2" w:rsidRPr="00576AC2" w:rsidRDefault="00576AC2" w:rsidP="00576AC2">
      <w:pPr>
        <w:shd w:val="clear" w:color="auto" w:fill="FFFFFF"/>
        <w:ind w:left="5387"/>
        <w:jc w:val="right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>Розпорядження міського голови</w:t>
      </w:r>
    </w:p>
    <w:p w:rsidR="00576AC2" w:rsidRPr="00576AC2" w:rsidRDefault="00576AC2" w:rsidP="00576AC2">
      <w:pPr>
        <w:shd w:val="clear" w:color="auto" w:fill="FFFFFF"/>
        <w:ind w:left="4962"/>
        <w:jc w:val="right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>24 березня 2022 року №57-Род-22-1510</w:t>
      </w:r>
    </w:p>
    <w:p w:rsidR="00576AC2" w:rsidRPr="00576AC2" w:rsidRDefault="00576AC2" w:rsidP="00576AC2">
      <w:pPr>
        <w:shd w:val="clear" w:color="auto" w:fill="FFFFFF"/>
        <w:ind w:left="5387"/>
        <w:jc w:val="right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:rsidR="00576AC2" w:rsidRPr="00576AC2" w:rsidRDefault="00576AC2" w:rsidP="00576AC2">
      <w:pPr>
        <w:shd w:val="clear" w:color="auto" w:fill="FFFFFF"/>
        <w:jc w:val="center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</w:pPr>
      <w:bookmarkStart w:id="1" w:name="_Hlk99022347"/>
      <w:r w:rsidRPr="00576AC2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>ІНФОРМАЦІЯ ЩОДО ЗАХОДУ ПРАВОВОГО РЕЖИМУ</w:t>
      </w:r>
      <w:r w:rsidRPr="00576AC2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576AC2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ВОЄННОГО СТАНУ </w:t>
      </w:r>
      <w:r w:rsidRPr="00576AC2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– </w:t>
      </w:r>
      <w:r w:rsidRPr="00576AC2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>КОМЕНДАНТСЬКОЇ ГОДИНИ</w:t>
      </w:r>
    </w:p>
    <w:p w:rsidR="00576AC2" w:rsidRPr="00576AC2" w:rsidRDefault="00576AC2" w:rsidP="00576AC2">
      <w:pPr>
        <w:shd w:val="clear" w:color="auto" w:fill="FFFFFF"/>
        <w:jc w:val="center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576AC2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>№1500-П-06</w:t>
      </w:r>
    </w:p>
    <w:p w:rsidR="00576AC2" w:rsidRPr="00576AC2" w:rsidRDefault="00576AC2" w:rsidP="00576AC2">
      <w:pPr>
        <w:shd w:val="clear" w:color="auto" w:fill="FFFFFF"/>
        <w:jc w:val="center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</w:pPr>
    </w:p>
    <w:bookmarkEnd w:id="1"/>
    <w:p w:rsidR="00576AC2" w:rsidRPr="00576AC2" w:rsidRDefault="00576AC2" w:rsidP="00576AC2">
      <w:pPr>
        <w:shd w:val="clear" w:color="auto" w:fill="FFFFFF"/>
        <w:ind w:firstLine="708"/>
        <w:jc w:val="both"/>
        <w:outlineLvl w:val="2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Відповідно до </w:t>
      </w:r>
      <w:bookmarkStart w:id="2" w:name="_Hlk99019874"/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розпорядження міського голови м. </w:t>
      </w:r>
      <w:proofErr w:type="spellStart"/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>Вараш</w:t>
      </w:r>
      <w:proofErr w:type="spellEnd"/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від 24 лютого 2022 року №</w:t>
      </w:r>
      <w:r w:rsidRPr="00576AC2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576AC2">
        <w:rPr>
          <w:rFonts w:eastAsia="Calibri" w:cs="Times New Roman"/>
          <w:color w:val="000000"/>
          <w:sz w:val="28"/>
          <w:szCs w:val="28"/>
          <w:lang w:val="uk-UA" w:eastAsia="en-US"/>
        </w:rPr>
        <w:t xml:space="preserve">№35-Род-22-1430 </w:t>
      </w:r>
      <w:bookmarkEnd w:id="2"/>
      <w:r w:rsidRPr="00576AC2">
        <w:rPr>
          <w:rFonts w:eastAsia="Calibri" w:cs="Times New Roman"/>
          <w:color w:val="000000"/>
          <w:sz w:val="28"/>
          <w:szCs w:val="28"/>
          <w:lang w:val="uk-UA" w:eastAsia="en-US"/>
        </w:rPr>
        <w:t>введено</w:t>
      </w:r>
      <w:r w:rsidRPr="00576AC2">
        <w:rPr>
          <w:rFonts w:eastAsia="Calibri" w:cs="Times New Roman"/>
          <w:color w:val="000000"/>
          <w:sz w:val="28"/>
          <w:szCs w:val="28"/>
          <w:shd w:val="clear" w:color="auto" w:fill="FFFFFF"/>
          <w:lang w:val="uk-UA" w:eastAsia="en-US"/>
        </w:rPr>
        <w:t xml:space="preserve"> комендантську годину на території Вараської міської територіальної громади з 21:00 год. до 06:00 год. щоденно до окремого розпорядження.</w:t>
      </w:r>
    </w:p>
    <w:p w:rsidR="00576AC2" w:rsidRPr="00576AC2" w:rsidRDefault="00576AC2" w:rsidP="00576AC2">
      <w:pPr>
        <w:shd w:val="clear" w:color="auto" w:fill="FFFFFF"/>
        <w:ind w:firstLine="426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576AC2" w:rsidRPr="00576AC2" w:rsidRDefault="00576AC2" w:rsidP="00576AC2">
      <w:pPr>
        <w:shd w:val="clear" w:color="auto" w:fill="FFFFFF"/>
        <w:ind w:firstLine="426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576AC2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>Що таке комендантська година?</w:t>
      </w:r>
    </w:p>
    <w:p w:rsidR="00576AC2" w:rsidRPr="00576AC2" w:rsidRDefault="00576AC2" w:rsidP="00576AC2">
      <w:pPr>
        <w:shd w:val="clear" w:color="auto" w:fill="FFFFFF"/>
        <w:ind w:firstLine="426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>Комендантська година - це заборона перебування людей у визначений час на вулицях та в інших громадських місцях без спеціально виданих перепусток і посвідчень.</w:t>
      </w:r>
    </w:p>
    <w:p w:rsidR="00576AC2" w:rsidRPr="00576AC2" w:rsidRDefault="00576AC2" w:rsidP="00576AC2">
      <w:pPr>
        <w:shd w:val="clear" w:color="auto" w:fill="FFFFFF"/>
        <w:ind w:firstLine="426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>На території, де запроваджено комендантську годину, забороняється перебування у визначений період доби на вулицях та в інших громадських місцях осіб без виданих перепусток, а також рух транспортних засобів.</w:t>
      </w:r>
    </w:p>
    <w:p w:rsidR="00576AC2" w:rsidRPr="00576AC2" w:rsidRDefault="00576AC2" w:rsidP="00576AC2">
      <w:pPr>
        <w:shd w:val="clear" w:color="auto" w:fill="FFFFFF"/>
        <w:ind w:firstLine="426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576AC2" w:rsidRPr="00576AC2" w:rsidRDefault="00576AC2" w:rsidP="00576AC2">
      <w:pPr>
        <w:shd w:val="clear" w:color="auto" w:fill="FFFFFF"/>
        <w:ind w:firstLine="426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576AC2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>Хто має право здійснювати контроль?</w:t>
      </w:r>
    </w:p>
    <w:p w:rsidR="00576AC2" w:rsidRPr="00576AC2" w:rsidRDefault="00576AC2" w:rsidP="00576AC2">
      <w:pPr>
        <w:shd w:val="clear" w:color="auto" w:fill="FFFFFF"/>
        <w:ind w:firstLine="426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>Перевіряти документи і, відповідно, встановлювати правомірність перебування на вулицях та в інших громадських місцях під час комендантської години – повноваження патрулів (</w:t>
      </w:r>
      <w:r w:rsidRPr="00576AC2">
        <w:rPr>
          <w:rFonts w:eastAsia="Calibri" w:cs="Times New Roman"/>
          <w:color w:val="000000"/>
          <w:sz w:val="28"/>
          <w:szCs w:val="28"/>
          <w:shd w:val="clear" w:color="auto" w:fill="FFFFFF"/>
          <w:lang w:val="uk-UA" w:eastAsia="en-US"/>
        </w:rPr>
        <w:t xml:space="preserve">спільний рухомий наряд, до складу якого входять поліцейські Національної поліції (далі НПУ) та військовослужбовці Збройних Сил (далі ЗСУ) і можуть залучатися військовослужбовці Національної гвардії (далі НГУ) та </w:t>
      </w:r>
      <w:proofErr w:type="spellStart"/>
      <w:r w:rsidRPr="00576AC2">
        <w:rPr>
          <w:rFonts w:eastAsia="Calibri" w:cs="Times New Roman"/>
          <w:color w:val="000000"/>
          <w:sz w:val="28"/>
          <w:szCs w:val="28"/>
          <w:shd w:val="clear" w:color="auto" w:fill="FFFFFF"/>
          <w:lang w:val="uk-UA" w:eastAsia="en-US"/>
        </w:rPr>
        <w:t>Держприкордонслужби</w:t>
      </w:r>
      <w:proofErr w:type="spellEnd"/>
      <w:r w:rsidRPr="00576AC2">
        <w:rPr>
          <w:rFonts w:eastAsia="Calibri" w:cs="Times New Roman"/>
          <w:color w:val="000000"/>
          <w:sz w:val="28"/>
          <w:szCs w:val="28"/>
          <w:shd w:val="clear" w:color="auto" w:fill="FFFFFF"/>
          <w:lang w:val="uk-UA" w:eastAsia="en-US"/>
        </w:rPr>
        <w:t xml:space="preserve"> (далі ДПСУ), добровольчого формування територіальної громади (далі ДФТГ) що виконує покладені на нього обов’язки на маршруті патрулювання, визначеному комендантом на території, де запроваджено комендантську годину</w:t>
      </w: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>).</w:t>
      </w:r>
    </w:p>
    <w:p w:rsidR="00576AC2" w:rsidRPr="00576AC2" w:rsidRDefault="00576AC2" w:rsidP="00576AC2">
      <w:pPr>
        <w:shd w:val="clear" w:color="auto" w:fill="FFFFFF"/>
        <w:ind w:firstLine="426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576AC2" w:rsidRPr="00576AC2" w:rsidRDefault="00576AC2" w:rsidP="00576AC2">
      <w:pPr>
        <w:shd w:val="clear" w:color="auto" w:fill="FFFFFF"/>
        <w:ind w:firstLine="426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576AC2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>Які повноваження</w:t>
      </w:r>
      <w:r w:rsidRPr="00576AC2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576AC2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>патрулів?</w:t>
      </w:r>
    </w:p>
    <w:p w:rsidR="00576AC2" w:rsidRPr="00576AC2" w:rsidRDefault="00576AC2" w:rsidP="00576AC2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>Патрулі мають право, зокрема:</w:t>
      </w:r>
    </w:p>
    <w:p w:rsidR="00576AC2" w:rsidRPr="00576AC2" w:rsidRDefault="00576AC2" w:rsidP="00576AC2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160" w:line="259" w:lineRule="auto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>затримувати і доставляти в органи або підрозділи НПУ осіб, які вчинили або вчиняють правопорушення;</w:t>
      </w:r>
    </w:p>
    <w:p w:rsidR="00576AC2" w:rsidRPr="00576AC2" w:rsidRDefault="00576AC2" w:rsidP="00576AC2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160" w:line="259" w:lineRule="auto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>застосовувати відповідно до законодавства заходи фізичного впливу, зброю і спеціальні засоби</w:t>
      </w:r>
    </w:p>
    <w:p w:rsidR="00576AC2" w:rsidRPr="00576AC2" w:rsidRDefault="00576AC2" w:rsidP="00576AC2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160" w:line="259" w:lineRule="auto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перевіряти в осіб посвідчення, документи, що посвідчують особу, документи, що підтверджують законність перебування на території України, та перепустки, а в разі їх відсутності – затримувати відповідних осіб та доставляти в органи або підрозділи НПУ для встановлення особи; </w:t>
      </w: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lastRenderedPageBreak/>
        <w:t>за потреби проводити огляд речей, транспортних засобів, багажу та вантажів, які ними перевозяться;</w:t>
      </w:r>
    </w:p>
    <w:p w:rsidR="00576AC2" w:rsidRPr="00576AC2" w:rsidRDefault="00576AC2" w:rsidP="00576AC2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160" w:line="259" w:lineRule="auto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>вилучати в осіб предмети, які є знаряддям, засобом або предметом правопорушення, і передавати їх органам або підрозділам НПУ;</w:t>
      </w:r>
    </w:p>
    <w:p w:rsidR="00576AC2" w:rsidRPr="00576AC2" w:rsidRDefault="00576AC2" w:rsidP="00576AC2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:rsidR="00576AC2" w:rsidRPr="00576AC2" w:rsidRDefault="00576AC2" w:rsidP="00576AC2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>А також:</w:t>
      </w:r>
    </w:p>
    <w:p w:rsidR="00576AC2" w:rsidRPr="00576AC2" w:rsidRDefault="00576AC2" w:rsidP="00576AC2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160" w:line="259" w:lineRule="auto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тимчасово </w:t>
      </w:r>
      <w:r w:rsidRPr="00576AC2">
        <w:rPr>
          <w:rFonts w:eastAsia="Times New Roman" w:cs="Times New Roman"/>
          <w:color w:val="000000"/>
          <w:sz w:val="28"/>
          <w:szCs w:val="28"/>
          <w:u w:val="single"/>
          <w:lang w:val="uk-UA" w:eastAsia="uk-UA"/>
        </w:rPr>
        <w:t>обмежувати або забороняти</w:t>
      </w: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на вулицях та дорогах, окремих ділянках місцевості та в інших громадських місцях </w:t>
      </w:r>
      <w:r w:rsidRPr="00576AC2">
        <w:rPr>
          <w:rFonts w:eastAsia="Times New Roman" w:cs="Times New Roman"/>
          <w:color w:val="000000"/>
          <w:sz w:val="28"/>
          <w:szCs w:val="28"/>
          <w:u w:val="single"/>
          <w:lang w:val="uk-UA" w:eastAsia="uk-UA"/>
        </w:rPr>
        <w:t>перебування або пересування осіб</w:t>
      </w: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Pr="00576AC2">
        <w:rPr>
          <w:rFonts w:eastAsia="Times New Roman" w:cs="Times New Roman"/>
          <w:color w:val="000000"/>
          <w:sz w:val="28"/>
          <w:szCs w:val="28"/>
          <w:u w:val="single"/>
          <w:lang w:val="uk-UA" w:eastAsia="uk-UA"/>
        </w:rPr>
        <w:t>рух транспортних засобів</w:t>
      </w: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>, зокрема транспортних засобів іноземних, консульських установ чи представництв міжнародних організацій; виводити осіб з окремих ділянок місцевості та об’єктів, евакуйовувати транспортні засоби;</w:t>
      </w:r>
    </w:p>
    <w:p w:rsidR="00576AC2" w:rsidRPr="00576AC2" w:rsidRDefault="00576AC2" w:rsidP="00576AC2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160" w:line="259" w:lineRule="auto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576AC2">
        <w:rPr>
          <w:rFonts w:eastAsia="Times New Roman" w:cs="Times New Roman"/>
          <w:color w:val="000000"/>
          <w:sz w:val="28"/>
          <w:szCs w:val="28"/>
          <w:u w:val="single"/>
          <w:lang w:val="uk-UA" w:eastAsia="uk-UA"/>
        </w:rPr>
        <w:t>входити</w:t>
      </w: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(проникати) </w:t>
      </w:r>
      <w:r w:rsidRPr="00576AC2">
        <w:rPr>
          <w:rFonts w:eastAsia="Times New Roman" w:cs="Times New Roman"/>
          <w:color w:val="000000"/>
          <w:sz w:val="28"/>
          <w:szCs w:val="28"/>
          <w:u w:val="single"/>
          <w:lang w:val="uk-UA" w:eastAsia="uk-UA"/>
        </w:rPr>
        <w:t>на</w:t>
      </w: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576AC2">
        <w:rPr>
          <w:rFonts w:eastAsia="Times New Roman" w:cs="Times New Roman"/>
          <w:color w:val="000000"/>
          <w:sz w:val="28"/>
          <w:szCs w:val="28"/>
          <w:u w:val="single"/>
          <w:lang w:val="uk-UA" w:eastAsia="uk-UA"/>
        </w:rPr>
        <w:t>територію</w:t>
      </w: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та у приміщення підприємств, установ і організацій, у житлові та інші приміщення, на земельні ділянки, що належать особам, під час припинення кримінального правопорушення та в разі переслідування осіб, які підозрюються у вчиненні злочину, якщо зволікання може створити реальну загрозу життю чи здоров’ю осіб;</w:t>
      </w:r>
    </w:p>
    <w:p w:rsidR="00576AC2" w:rsidRPr="00576AC2" w:rsidRDefault="00576AC2" w:rsidP="00576AC2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160" w:line="259" w:lineRule="auto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>використовувати із службовою метою засоби зв’язку і транспортні засоби, що належать особам (за їх згодою), підприємствам, установам і організаціям, за винятком транспортних засобів іноземних консульських установ чи представництв міжнародних організацій, для запобігання вчиненню кримінального правопорушення, переслідування та затримання осіб, що підозрюються у вчиненні злочину, або для доставки до лікувальних закладів осіб, які потребують медичної допомоги, проїзду до місця злочину.</w:t>
      </w:r>
    </w:p>
    <w:p w:rsidR="00576AC2" w:rsidRPr="00576AC2" w:rsidRDefault="00576AC2" w:rsidP="00576AC2">
      <w:pPr>
        <w:shd w:val="clear" w:color="auto" w:fill="FFFFFF"/>
        <w:ind w:firstLine="426"/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576AC2" w:rsidRPr="00576AC2" w:rsidRDefault="00576AC2" w:rsidP="00576AC2">
      <w:pPr>
        <w:shd w:val="clear" w:color="auto" w:fill="FFFFFF"/>
        <w:ind w:firstLine="426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576AC2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>Яка відповідальність за порушення режиму комендантської години?</w:t>
      </w:r>
    </w:p>
    <w:p w:rsidR="00576AC2" w:rsidRPr="00576AC2" w:rsidRDefault="00576AC2" w:rsidP="00576AC2">
      <w:pPr>
        <w:shd w:val="clear" w:color="auto" w:fill="FFFFFF"/>
        <w:ind w:firstLine="426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>Особи, які вчинили кримінальні та адміністративні правопорушення затримуються в порядку, встановленому КПКУ та КУпАП.</w:t>
      </w:r>
    </w:p>
    <w:p w:rsidR="00576AC2" w:rsidRPr="00576AC2" w:rsidRDefault="00576AC2" w:rsidP="00576AC2">
      <w:pPr>
        <w:shd w:val="clear" w:color="auto" w:fill="FFFFFF"/>
        <w:ind w:firstLine="426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>Якщо людина в заборонений час – протягом комендантської години – перебуває на вулиці, то комендантський патруль має право її затримати, перевірити в неї наявність документів, які б давали право на перебування на вулиці, чи підтвердити обставину про відсутність таких документів у даної особи, а також встановити причину порушення комендантської години.</w:t>
      </w:r>
    </w:p>
    <w:p w:rsidR="00576AC2" w:rsidRPr="00576AC2" w:rsidRDefault="00576AC2" w:rsidP="00576AC2">
      <w:pPr>
        <w:shd w:val="clear" w:color="auto" w:fill="FFFFFF"/>
        <w:ind w:firstLine="426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:rsidR="00576AC2" w:rsidRPr="00576AC2" w:rsidRDefault="00576AC2" w:rsidP="00576AC2">
      <w:pPr>
        <w:shd w:val="clear" w:color="auto" w:fill="FFFFFF"/>
        <w:ind w:firstLine="426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За </w:t>
      </w:r>
      <w:r w:rsidRPr="00576AC2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непокору </w:t>
      </w: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законному розпорядженню або </w:t>
      </w:r>
      <w:proofErr w:type="spellStart"/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>вимозі</w:t>
      </w:r>
      <w:proofErr w:type="spellEnd"/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патруля на порушника може бути накладено стягнення відповідно до статті 185</w:t>
      </w:r>
      <w:hyperlink r:id="rId5" w:anchor="n1967" w:history="1">
        <w:r w:rsidRPr="00576AC2">
          <w:rPr>
            <w:rFonts w:eastAsia="Times New Roman" w:cs="Times New Roman"/>
            <w:color w:val="000000"/>
            <w:sz w:val="28"/>
            <w:szCs w:val="28"/>
            <w:lang w:val="uk-UA" w:eastAsia="uk-UA"/>
          </w:rPr>
          <w:t xml:space="preserve"> КУпАП.</w:t>
        </w:r>
      </w:hyperlink>
    </w:p>
    <w:p w:rsidR="00576AC2" w:rsidRPr="00576AC2" w:rsidRDefault="00576AC2" w:rsidP="00576AC2">
      <w:pPr>
        <w:shd w:val="clear" w:color="auto" w:fill="FFFFFF"/>
        <w:ind w:firstLine="426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:rsidR="00576AC2" w:rsidRPr="00576AC2" w:rsidRDefault="00576AC2" w:rsidP="00576AC2">
      <w:pPr>
        <w:shd w:val="clear" w:color="auto" w:fill="FFFFFF"/>
        <w:ind w:firstLine="426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Якщо порушник комендантської години чинить </w:t>
      </w:r>
      <w:r w:rsidRPr="00576AC2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>опір</w:t>
      </w: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, його може бути притягнуто до кримінальної відповідальності за статтею 342 </w:t>
      </w:r>
      <w:hyperlink r:id="rId6" w:anchor="Text" w:history="1">
        <w:r w:rsidRPr="00576AC2">
          <w:rPr>
            <w:rFonts w:eastAsia="Times New Roman" w:cs="Times New Roman"/>
            <w:color w:val="000000"/>
            <w:sz w:val="28"/>
            <w:szCs w:val="28"/>
            <w:lang w:val="uk-UA" w:eastAsia="uk-UA"/>
          </w:rPr>
          <w:t>ККУ</w:t>
        </w:r>
      </w:hyperlink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>.</w:t>
      </w:r>
    </w:p>
    <w:p w:rsidR="00576AC2" w:rsidRPr="00576AC2" w:rsidRDefault="00576AC2" w:rsidP="00576AC2">
      <w:pPr>
        <w:shd w:val="clear" w:color="auto" w:fill="FFFFFF"/>
        <w:ind w:firstLine="426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:rsidR="00576AC2" w:rsidRPr="00576AC2" w:rsidRDefault="00576AC2" w:rsidP="00576AC2">
      <w:pPr>
        <w:shd w:val="clear" w:color="auto" w:fill="FFFFFF"/>
        <w:ind w:firstLine="426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Крім того, наголошуємо, що також передбачена відповідальність за </w:t>
      </w:r>
      <w:r w:rsidRPr="00576AC2">
        <w:rPr>
          <w:rFonts w:eastAsia="Times New Roman" w:cs="Times New Roman"/>
          <w:color w:val="000000"/>
          <w:sz w:val="28"/>
          <w:szCs w:val="28"/>
          <w:u w:val="single"/>
          <w:lang w:val="uk-UA" w:eastAsia="uk-UA"/>
        </w:rPr>
        <w:t>поширювання неправдивих чуток</w:t>
      </w: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>, що можуть викликати паніку серед населення або порушення громадського порядку за статтею 173</w:t>
      </w:r>
      <w:r w:rsidRPr="00576AC2">
        <w:rPr>
          <w:rFonts w:eastAsia="Times New Roman" w:cs="Times New Roman"/>
          <w:color w:val="000000"/>
          <w:sz w:val="28"/>
          <w:szCs w:val="28"/>
          <w:vertAlign w:val="superscript"/>
          <w:lang w:val="uk-UA" w:eastAsia="uk-UA"/>
        </w:rPr>
        <w:t>1</w:t>
      </w:r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</w:t>
      </w:r>
      <w:hyperlink r:id="rId7" w:anchor="n1967" w:history="1">
        <w:r w:rsidRPr="00576AC2">
          <w:rPr>
            <w:rFonts w:eastAsia="Times New Roman" w:cs="Times New Roman"/>
            <w:color w:val="000000"/>
            <w:sz w:val="28"/>
            <w:szCs w:val="28"/>
            <w:lang w:val="uk-UA" w:eastAsia="uk-UA"/>
          </w:rPr>
          <w:t>КУпАП,</w:t>
        </w:r>
      </w:hyperlink>
      <w:r w:rsidRPr="00576AC2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що </w:t>
      </w:r>
      <w:r w:rsidRPr="00576AC2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тягне за собою накладення штрафу або виправні роботи на строк до одного місяця з відрахуванням двадцяти процентів заробітку.</w:t>
      </w:r>
    </w:p>
    <w:p w:rsidR="00576AC2" w:rsidRPr="00576AC2" w:rsidRDefault="00576AC2" w:rsidP="00576AC2">
      <w:pPr>
        <w:shd w:val="clear" w:color="auto" w:fill="FFFFFF"/>
        <w:ind w:firstLine="426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576AC2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_____________________________________________________________</w:t>
      </w:r>
    </w:p>
    <w:p w:rsidR="00576AC2" w:rsidRPr="00576AC2" w:rsidRDefault="00576AC2" w:rsidP="00576AC2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uk-UA" w:eastAsia="en-US"/>
        </w:rPr>
      </w:pPr>
    </w:p>
    <w:p w:rsidR="003D2105" w:rsidRDefault="003D2105"/>
    <w:sectPr w:rsidR="003D2105" w:rsidSect="00E32311">
      <w:pgSz w:w="11906" w:h="16838"/>
      <w:pgMar w:top="850" w:right="70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C268DD"/>
    <w:multiLevelType w:val="multilevel"/>
    <w:tmpl w:val="55C256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C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76AC2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A2FC"/>
  <w15:chartTrackingRefBased/>
  <w15:docId w15:val="{CDAE0141-FA5F-4EED-A22A-16FA859B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073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341-14" TargetMode="External"/><Relationship Id="rId5" Type="http://schemas.openxmlformats.org/officeDocument/2006/relationships/hyperlink" Target="https://zakon.rada.gov.ua/laws/show/80731-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3078</Words>
  <Characters>1755</Characters>
  <Application>Microsoft Office Word</Application>
  <DocSecurity>0</DocSecurity>
  <Lines>14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2022-04-07T09:24:00Z</dcterms:created>
  <dcterms:modified xsi:type="dcterms:W3CDTF">2022-04-07T09:24:00Z</dcterms:modified>
</cp:coreProperties>
</file>