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845B2" w14:textId="77777777" w:rsidR="00A8728F" w:rsidRPr="006D058B" w:rsidRDefault="00A8728F" w:rsidP="00A8728F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6D058B">
        <w:rPr>
          <w:rFonts w:cs="Times New Roman"/>
          <w:b/>
          <w:lang w:val="uk-UA"/>
        </w:rPr>
        <w:t xml:space="preserve">   </w:t>
      </w:r>
      <w:r w:rsidRPr="006D058B">
        <w:rPr>
          <w:rFonts w:cs="Times New Roman"/>
          <w:b/>
          <w:noProof/>
        </w:rPr>
        <w:drawing>
          <wp:inline distT="0" distB="0" distL="0" distR="0" wp14:anchorId="7998D438" wp14:editId="7712586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8B">
        <w:rPr>
          <w:rFonts w:cs="Times New Roman"/>
          <w:b/>
          <w:lang w:val="uk-UA"/>
        </w:rPr>
        <w:t xml:space="preserve">                                                         </w:t>
      </w:r>
    </w:p>
    <w:p w14:paraId="33A67111" w14:textId="77777777" w:rsidR="00A8728F" w:rsidRPr="006D058B" w:rsidRDefault="00A8728F" w:rsidP="00A8728F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6D058B">
        <w:rPr>
          <w:rFonts w:cs="Times New Roman"/>
          <w:b/>
          <w:sz w:val="32"/>
          <w:szCs w:val="32"/>
          <w:lang w:val="uk-UA"/>
        </w:rPr>
        <w:t>УКРАЇНА</w:t>
      </w:r>
    </w:p>
    <w:p w14:paraId="134C63E2" w14:textId="77777777" w:rsidR="00A8728F" w:rsidRPr="006D058B" w:rsidRDefault="00A8728F" w:rsidP="00A8728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6D058B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14:paraId="74A08C3F" w14:textId="77777777" w:rsidR="00A8728F" w:rsidRPr="006D058B" w:rsidRDefault="00A8728F" w:rsidP="00A8728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6D058B">
        <w:rPr>
          <w:rFonts w:cs="Times New Roman"/>
          <w:b/>
          <w:bCs/>
          <w:sz w:val="28"/>
          <w:szCs w:val="28"/>
          <w:lang w:val="uk-UA"/>
        </w:rPr>
        <w:t>м. ВАРАШ</w:t>
      </w:r>
    </w:p>
    <w:p w14:paraId="4E31411A" w14:textId="77777777" w:rsidR="00A8728F" w:rsidRPr="006D058B" w:rsidRDefault="00A8728F" w:rsidP="00A8728F">
      <w:pPr>
        <w:jc w:val="center"/>
        <w:rPr>
          <w:rFonts w:cs="Times New Roman"/>
          <w:b/>
          <w:bCs/>
          <w:lang w:val="uk-UA"/>
        </w:rPr>
      </w:pPr>
    </w:p>
    <w:p w14:paraId="529B51CB" w14:textId="77777777" w:rsidR="00A8728F" w:rsidRPr="006D058B" w:rsidRDefault="00A8728F" w:rsidP="00A8728F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6D058B">
        <w:rPr>
          <w:rFonts w:cs="Times New Roman"/>
          <w:b/>
          <w:bCs/>
          <w:sz w:val="32"/>
          <w:szCs w:val="32"/>
          <w:lang w:val="uk-UA"/>
        </w:rPr>
        <w:t>Р О З П О Р Я Д Ж Е Н Н Я</w:t>
      </w:r>
    </w:p>
    <w:p w14:paraId="2B9DC04C" w14:textId="77777777" w:rsidR="00A8728F" w:rsidRPr="006D058B" w:rsidRDefault="00A8728F" w:rsidP="00A8728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6D058B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14:paraId="5DE6FE7F" w14:textId="77777777" w:rsidR="00A8728F" w:rsidRPr="006D058B" w:rsidRDefault="00A8728F" w:rsidP="00A8728F">
      <w:pPr>
        <w:rPr>
          <w:rFonts w:cs="Times New Roman"/>
          <w:b/>
          <w:lang w:val="uk-UA"/>
        </w:rPr>
      </w:pPr>
    </w:p>
    <w:p w14:paraId="01BE34A5" w14:textId="77777777" w:rsidR="00A8728F" w:rsidRPr="006D058B" w:rsidRDefault="00A8728F" w:rsidP="00A8728F">
      <w:pPr>
        <w:jc w:val="both"/>
        <w:rPr>
          <w:rFonts w:cs="Times New Roman"/>
          <w:b/>
          <w:lang w:val="uk-UA"/>
        </w:rPr>
      </w:pPr>
    </w:p>
    <w:p w14:paraId="78F63DA2" w14:textId="16EF24D5" w:rsidR="00A8728F" w:rsidRPr="006D058B" w:rsidRDefault="002F4029" w:rsidP="00A8728F">
      <w:pPr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2F4029">
        <w:rPr>
          <w:rFonts w:cs="Times New Roman"/>
          <w:b/>
          <w:sz w:val="28"/>
          <w:szCs w:val="28"/>
        </w:rPr>
        <w:t>3</w:t>
      </w:r>
      <w:r>
        <w:rPr>
          <w:rFonts w:cs="Times New Roman"/>
          <w:b/>
          <w:sz w:val="28"/>
          <w:szCs w:val="28"/>
          <w:lang w:val="en-US"/>
        </w:rPr>
        <w:t xml:space="preserve">1 </w:t>
      </w:r>
      <w:r>
        <w:rPr>
          <w:rFonts w:cs="Times New Roman"/>
          <w:b/>
          <w:sz w:val="28"/>
          <w:szCs w:val="28"/>
          <w:lang w:val="uk-UA"/>
        </w:rPr>
        <w:t xml:space="preserve">травня </w:t>
      </w:r>
      <w:r w:rsidR="00A8728F" w:rsidRPr="006D058B">
        <w:rPr>
          <w:rFonts w:cs="Times New Roman"/>
          <w:b/>
          <w:sz w:val="28"/>
          <w:szCs w:val="28"/>
          <w:lang w:val="uk-UA"/>
        </w:rPr>
        <w:t>2022 року</w:t>
      </w:r>
      <w:r w:rsidR="00A8728F" w:rsidRPr="006D058B">
        <w:rPr>
          <w:rFonts w:cs="Times New Roman"/>
          <w:b/>
          <w:sz w:val="28"/>
          <w:szCs w:val="28"/>
          <w:lang w:val="uk-UA"/>
        </w:rPr>
        <w:tab/>
      </w:r>
      <w:r w:rsidR="00A8728F" w:rsidRPr="006D058B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A8728F" w:rsidRPr="006D058B">
        <w:rPr>
          <w:rFonts w:cs="Times New Roman"/>
          <w:b/>
          <w:sz w:val="28"/>
          <w:szCs w:val="28"/>
          <w:lang w:val="uk-UA"/>
        </w:rPr>
        <w:tab/>
      </w:r>
      <w:r w:rsidR="00A8728F" w:rsidRPr="006D058B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A8728F" w:rsidRPr="006D058B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 w:rsidR="00A8728F" w:rsidRPr="006D058B">
        <w:rPr>
          <w:rFonts w:cs="Times New Roman"/>
          <w:b/>
          <w:sz w:val="28"/>
          <w:szCs w:val="28"/>
          <w:lang w:val="uk-UA"/>
        </w:rPr>
        <w:t xml:space="preserve">№ </w:t>
      </w:r>
      <w:r>
        <w:rPr>
          <w:rFonts w:cs="Times New Roman"/>
          <w:b/>
          <w:sz w:val="28"/>
          <w:szCs w:val="28"/>
          <w:lang w:val="uk-UA"/>
        </w:rPr>
        <w:t>103-Род-22-</w:t>
      </w:r>
      <w:bookmarkStart w:id="0" w:name="_GoBack"/>
      <w:bookmarkEnd w:id="0"/>
      <w:r>
        <w:rPr>
          <w:rFonts w:cs="Times New Roman"/>
          <w:b/>
          <w:sz w:val="28"/>
          <w:szCs w:val="28"/>
          <w:lang w:val="uk-UA"/>
        </w:rPr>
        <w:t>3120</w:t>
      </w:r>
    </w:p>
    <w:p w14:paraId="19A769B1" w14:textId="77777777" w:rsidR="00A8728F" w:rsidRPr="006D058B" w:rsidRDefault="00A8728F" w:rsidP="00A8728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68E5CD4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E8C0D53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3DE820F7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</w:p>
    <w:p w14:paraId="0D456838" w14:textId="77777777" w:rsidR="00A8728F" w:rsidRPr="006D058B" w:rsidRDefault="00A8728F" w:rsidP="00A8728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14:paraId="3ABBE092" w14:textId="77777777" w:rsidR="00A8728F" w:rsidRPr="006D058B" w:rsidRDefault="00A8728F" w:rsidP="00A8728F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54A30BAB" w14:textId="77777777" w:rsidR="00A8728F" w:rsidRPr="006D058B" w:rsidRDefault="00A8728F" w:rsidP="00A8728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 xml:space="preserve">1. Провести засідання виконавчого комітету Вараської міської ради        </w:t>
      </w:r>
      <w:r>
        <w:rPr>
          <w:rFonts w:cs="Times New Roman"/>
          <w:sz w:val="28"/>
          <w:szCs w:val="28"/>
          <w:lang w:val="uk-UA"/>
        </w:rPr>
        <w:t>01 червня</w:t>
      </w:r>
      <w:r w:rsidRPr="006D058B">
        <w:rPr>
          <w:rFonts w:cs="Times New Roman"/>
          <w:sz w:val="28"/>
          <w:szCs w:val="28"/>
          <w:lang w:val="uk-UA"/>
        </w:rPr>
        <w:t xml:space="preserve">  2022 року о 14.15  год. у великій залі засідань виконавчого комітету  (1 поверх) з порядком денним:</w:t>
      </w:r>
    </w:p>
    <w:p w14:paraId="0E0375AB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6D058B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cs="Times New Roman"/>
          <w:bCs/>
          <w:sz w:val="28"/>
          <w:szCs w:val="28"/>
          <w:shd w:val="clear" w:color="auto" w:fill="FFFFFF"/>
          <w:lang w:val="uk-UA"/>
        </w:rPr>
        <w:t>1.</w:t>
      </w:r>
      <w:r w:rsidRPr="00C7045D">
        <w:rPr>
          <w:sz w:val="28"/>
          <w:szCs w:val="28"/>
          <w:lang w:val="uk-UA"/>
        </w:rPr>
        <w:t xml:space="preserve">1. </w:t>
      </w:r>
      <w:hyperlink r:id="rId5" w:history="1">
        <w:r w:rsidRPr="00A8728F">
          <w:rPr>
            <w:rStyle w:val="a4"/>
            <w:color w:val="auto"/>
            <w:sz w:val="28"/>
            <w:szCs w:val="28"/>
            <w:u w:val="none"/>
          </w:rPr>
          <w:t>Про схвалення довгострокової програми — Стратегія розвитку Вараської міської територіальної громади на період до 2027 року №7200-ПР-03</w:t>
        </w:r>
      </w:hyperlink>
      <w:r w:rsidRPr="00A8728F">
        <w:rPr>
          <w:sz w:val="28"/>
          <w:szCs w:val="28"/>
          <w:lang w:val="uk-UA"/>
        </w:rPr>
        <w:t xml:space="preserve">. </w:t>
      </w:r>
    </w:p>
    <w:p w14:paraId="35C5CCBB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b/>
          <w:bCs/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 xml:space="preserve">1.2. </w:t>
      </w:r>
      <w:hyperlink r:id="rId6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мережі закладів дошкільної освіти Вараської міської територіальної громади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ab/>
      </w:r>
    </w:p>
    <w:p w14:paraId="004BF0D6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1.3. </w:t>
      </w:r>
      <w:hyperlink r:id="rId7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2022 рік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</w:t>
      </w:r>
    </w:p>
    <w:p w14:paraId="7C62FF7B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1.4. </w:t>
      </w:r>
      <w:r w:rsidRPr="00A8728F">
        <w:rPr>
          <w:sz w:val="28"/>
          <w:szCs w:val="28"/>
          <w:lang w:val="uk-UA"/>
        </w:rPr>
        <w:tab/>
      </w:r>
      <w:hyperlink r:id="rId8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>Про надання грошової компенсації за придбання шкільної та спортивної форми дітям-сиротам, позбавленим батьківського піклування, які навчаються у закладах загальної середньої освіти Вараської міської територіальної громади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ab/>
        <w:t xml:space="preserve">     </w:t>
      </w:r>
    </w:p>
    <w:p w14:paraId="7CF0054C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b/>
          <w:bCs/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 xml:space="preserve">1.5. </w:t>
      </w:r>
      <w:hyperlink r:id="rId9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проєкту рішення Вараської міської ради «Про перейменування вулиць в м. Вараш, с.Більська Воля, с.Рудка, с. Сопачів»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.    </w:t>
        </w:r>
      </w:hyperlink>
      <w:r w:rsidRPr="00A8728F">
        <w:rPr>
          <w:sz w:val="28"/>
          <w:szCs w:val="28"/>
          <w:lang w:val="uk-UA"/>
        </w:rPr>
        <w:t xml:space="preserve">                                </w:t>
      </w:r>
    </w:p>
    <w:p w14:paraId="1F082754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</w:rPr>
        <w:tab/>
      </w:r>
      <w:r w:rsidRPr="00A8728F">
        <w:rPr>
          <w:sz w:val="28"/>
          <w:szCs w:val="28"/>
          <w:lang w:val="uk-UA"/>
        </w:rPr>
        <w:t xml:space="preserve">1.6. </w:t>
      </w:r>
      <w:hyperlink r:id="rId10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продовження договору оренди комунального майна №03/19 від 01.07.2019 без проведення аукціону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        </w:t>
      </w:r>
    </w:p>
    <w:p w14:paraId="16D97897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1.7. </w:t>
      </w:r>
      <w:hyperlink r:id="rId11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продовження договору оренди комунального майна №6 від 31.05.2019 без проведення аукціону та включення об’єкту оренди в Перелік першого типу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</w:t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  <w:t xml:space="preserve">     </w:t>
      </w:r>
    </w:p>
    <w:p w14:paraId="2FF3FFBD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>1.8.</w:t>
      </w:r>
      <w:r w:rsidRPr="00A8728F">
        <w:rPr>
          <w:b/>
          <w:bCs/>
          <w:sz w:val="28"/>
          <w:szCs w:val="28"/>
          <w:lang w:val="uk-UA"/>
        </w:rPr>
        <w:t xml:space="preserve"> </w:t>
      </w:r>
      <w:hyperlink r:id="rId12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внесення змін до договору оренди нерухомого майна, що належить до комунальної власності від 20.04.2011 №275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</w:t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  <w:t>1.9.</w:t>
      </w:r>
      <w:r w:rsidRPr="00A8728F">
        <w:rPr>
          <w:b/>
          <w:bCs/>
          <w:sz w:val="28"/>
          <w:szCs w:val="28"/>
          <w:lang w:val="uk-UA"/>
        </w:rPr>
        <w:t xml:space="preserve"> </w:t>
      </w:r>
      <w:hyperlink r:id="rId13" w:history="1">
        <w:r w:rsidRPr="00A8728F">
          <w:rPr>
            <w:rStyle w:val="a4"/>
            <w:color w:val="auto"/>
            <w:sz w:val="28"/>
            <w:szCs w:val="28"/>
            <w:u w:val="none"/>
          </w:rPr>
          <w:t xml:space="preserve">Про підготовку теплових господарств, об’єктів житлово-комунального </w:t>
        </w:r>
        <w:r w:rsidRPr="00A8728F">
          <w:rPr>
            <w:rStyle w:val="a4"/>
            <w:color w:val="auto"/>
            <w:sz w:val="28"/>
            <w:szCs w:val="28"/>
            <w:u w:val="none"/>
          </w:rPr>
          <w:lastRenderedPageBreak/>
          <w:t>господарства та соціальної сфери Вараської міської територіальної громади до роботи в осінньо-зимовий період 2022 – 2023 року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</w:t>
      </w:r>
    </w:p>
    <w:p w14:paraId="3EA6C90E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>1.10.</w:t>
      </w:r>
      <w:r w:rsidRPr="00A8728F">
        <w:rPr>
          <w:b/>
          <w:bCs/>
          <w:sz w:val="28"/>
          <w:szCs w:val="28"/>
          <w:lang w:val="uk-UA"/>
        </w:rPr>
        <w:t xml:space="preserve"> </w:t>
      </w:r>
      <w:hyperlink r:id="rId14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передачі в оренду нерухомого майна комунальної власності Західному міжрегіональному управлінню Міністерства юстиції (м.Львів) без проведення аукціону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  <w:lang w:val="uk-UA"/>
        </w:rPr>
        <w:t xml:space="preserve"> </w:t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</w:p>
    <w:p w14:paraId="1F7BFE4C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>1.11.</w:t>
      </w:r>
      <w:r w:rsidRPr="00A8728F">
        <w:rPr>
          <w:b/>
          <w:bCs/>
          <w:sz w:val="28"/>
          <w:szCs w:val="28"/>
          <w:lang w:val="uk-UA"/>
        </w:rPr>
        <w:t xml:space="preserve"> </w:t>
      </w:r>
      <w:hyperlink r:id="rId15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наміру передачі в оренду нерухомого майна комунальної власності та включення його до Переліку першого типу</w:t>
        </w:r>
      </w:hyperlink>
      <w:r w:rsidRPr="00A8728F">
        <w:rPr>
          <w:sz w:val="28"/>
          <w:szCs w:val="28"/>
          <w:lang w:val="uk-UA"/>
        </w:rPr>
        <w:t xml:space="preserve"> .</w:t>
      </w:r>
    </w:p>
    <w:p w14:paraId="72D765C6" w14:textId="77777777" w:rsidR="00A8728F" w:rsidRPr="00A8728F" w:rsidRDefault="00A8728F" w:rsidP="00A8728F">
      <w:pPr>
        <w:jc w:val="both"/>
        <w:rPr>
          <w:sz w:val="28"/>
          <w:szCs w:val="28"/>
        </w:rPr>
      </w:pPr>
      <w:r w:rsidRPr="00A8728F">
        <w:rPr>
          <w:sz w:val="28"/>
          <w:szCs w:val="28"/>
          <w:lang w:val="uk-UA"/>
        </w:rPr>
        <w:tab/>
        <w:t xml:space="preserve">1.12. </w:t>
      </w:r>
      <w:hyperlink r:id="rId16" w:history="1">
        <w:r w:rsidRPr="00A8728F">
          <w:rPr>
            <w:rStyle w:val="a4"/>
            <w:color w:val="auto"/>
            <w:sz w:val="28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 комунальному підприємству «Обласний центр екстреної допомоги та медицини катастроф» Рівненської обласної ради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  <w:r w:rsidRPr="00A8728F">
        <w:rPr>
          <w:sz w:val="28"/>
          <w:szCs w:val="28"/>
        </w:rPr>
        <w:t xml:space="preserve"> </w:t>
      </w:r>
    </w:p>
    <w:p w14:paraId="4C6857A9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1.13. </w:t>
      </w:r>
      <w:hyperlink r:id="rId17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A8728F">
        <w:rPr>
          <w:sz w:val="28"/>
          <w:szCs w:val="28"/>
          <w:lang w:val="uk-UA"/>
        </w:rPr>
        <w:t xml:space="preserve"> </w:t>
      </w:r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  <w:t xml:space="preserve">     </w:t>
      </w:r>
    </w:p>
    <w:p w14:paraId="59F7DC9D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1.14. </w:t>
      </w:r>
      <w:hyperlink r:id="rId18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малолітньому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</w:p>
    <w:p w14:paraId="14D7544C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1.15. </w:t>
      </w:r>
      <w:hyperlink r:id="rId19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та призначення опікуном громадянина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</w:hyperlink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  <w:t xml:space="preserve">1.16. </w:t>
      </w:r>
      <w:hyperlink r:id="rId20" w:history="1">
        <w:r w:rsidRPr="002F402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громадянина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2F4029">
        <w:rPr>
          <w:sz w:val="28"/>
          <w:szCs w:val="28"/>
          <w:lang w:val="uk-UA"/>
        </w:rPr>
        <w:tab/>
      </w:r>
      <w:r w:rsidRPr="002F4029">
        <w:rPr>
          <w:sz w:val="28"/>
          <w:szCs w:val="28"/>
          <w:lang w:val="uk-UA"/>
        </w:rPr>
        <w:tab/>
      </w:r>
    </w:p>
    <w:p w14:paraId="23C9923F" w14:textId="77777777" w:rsidR="00A8728F" w:rsidRPr="00A8728F" w:rsidRDefault="00A8728F" w:rsidP="00A8728F">
      <w:pPr>
        <w:jc w:val="both"/>
        <w:rPr>
          <w:b/>
          <w:bCs/>
          <w:sz w:val="28"/>
          <w:szCs w:val="28"/>
          <w:lang w:val="uk-UA"/>
        </w:rPr>
      </w:pPr>
      <w:r w:rsidRPr="00A8728F">
        <w:rPr>
          <w:sz w:val="28"/>
          <w:szCs w:val="28"/>
          <w:lang w:val="uk-UA"/>
        </w:rPr>
        <w:tab/>
        <w:t xml:space="preserve">1.17. </w:t>
      </w:r>
      <w:hyperlink r:id="rId21" w:history="1">
        <w:r w:rsidRPr="002F402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громадянина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A8728F">
        <w:rPr>
          <w:sz w:val="28"/>
          <w:szCs w:val="28"/>
          <w:lang w:val="uk-UA"/>
        </w:rPr>
        <w:tab/>
      </w:r>
      <w:r w:rsidRPr="00A8728F">
        <w:rPr>
          <w:sz w:val="28"/>
          <w:szCs w:val="28"/>
          <w:lang w:val="uk-UA"/>
        </w:rPr>
        <w:tab/>
      </w:r>
    </w:p>
    <w:p w14:paraId="06FC3BEE" w14:textId="77777777" w:rsidR="00A8728F" w:rsidRPr="00A8728F" w:rsidRDefault="00A8728F" w:rsidP="00A8728F">
      <w:pPr>
        <w:jc w:val="both"/>
        <w:rPr>
          <w:rStyle w:val="a4"/>
          <w:color w:val="auto"/>
          <w:sz w:val="28"/>
          <w:szCs w:val="28"/>
          <w:u w:val="none"/>
          <w:lang w:val="uk-UA"/>
        </w:rPr>
      </w:pPr>
      <w:r w:rsidRPr="00A8728F">
        <w:rPr>
          <w:rFonts w:cs="Times New Roman"/>
          <w:sz w:val="28"/>
          <w:szCs w:val="28"/>
          <w:lang w:val="uk-UA"/>
        </w:rPr>
        <w:tab/>
        <w:t xml:space="preserve">1.18. </w:t>
      </w:r>
      <w:hyperlink r:id="rId22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1593C00D" w14:textId="77777777" w:rsidR="00A8728F" w:rsidRPr="00A8728F" w:rsidRDefault="00A8728F" w:rsidP="00A8728F">
      <w:pPr>
        <w:jc w:val="both"/>
        <w:rPr>
          <w:rStyle w:val="a4"/>
          <w:color w:val="auto"/>
          <w:sz w:val="28"/>
          <w:szCs w:val="28"/>
          <w:u w:val="none"/>
          <w:lang w:val="uk-UA"/>
        </w:rPr>
      </w:pPr>
      <w:r w:rsidRPr="00A8728F">
        <w:rPr>
          <w:rStyle w:val="a4"/>
          <w:color w:val="auto"/>
          <w:sz w:val="28"/>
          <w:szCs w:val="28"/>
          <w:u w:val="none"/>
          <w:lang w:val="uk-UA"/>
        </w:rPr>
        <w:tab/>
        <w:t xml:space="preserve">1.19. </w:t>
      </w:r>
      <w:hyperlink r:id="rId23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громадянам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>. на вчинення правочину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03B7B1A" w14:textId="77777777" w:rsidR="00A8728F" w:rsidRPr="00A8728F" w:rsidRDefault="00A8728F" w:rsidP="00A8728F">
      <w:pPr>
        <w:jc w:val="both"/>
        <w:rPr>
          <w:sz w:val="28"/>
          <w:szCs w:val="28"/>
          <w:lang w:val="uk-UA"/>
        </w:rPr>
      </w:pPr>
      <w:r w:rsidRPr="00A8728F">
        <w:rPr>
          <w:rStyle w:val="a4"/>
          <w:color w:val="auto"/>
          <w:sz w:val="28"/>
          <w:szCs w:val="28"/>
          <w:u w:val="none"/>
          <w:lang w:val="uk-UA"/>
        </w:rPr>
        <w:tab/>
        <w:t xml:space="preserve">1.20. </w:t>
      </w:r>
      <w:hyperlink r:id="rId24" w:history="1"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дозволу громадянці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A8728F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на вчинення правочину</w:t>
        </w:r>
      </w:hyperlink>
      <w:r w:rsidRPr="00A8728F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4EE801E" w14:textId="77777777" w:rsidR="00A8728F" w:rsidRPr="006D058B" w:rsidRDefault="00A8728F" w:rsidP="00A8728F">
      <w:pPr>
        <w:jc w:val="both"/>
        <w:rPr>
          <w:rFonts w:cs="Times New Roman"/>
          <w:color w:val="000000"/>
          <w:sz w:val="28"/>
          <w:szCs w:val="28"/>
          <w:lang w:val="uk-UA"/>
        </w:rPr>
      </w:pPr>
    </w:p>
    <w:p w14:paraId="2CB5D96A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57627B2B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</w:p>
    <w:p w14:paraId="781BFB48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покласти на </w:t>
      </w:r>
      <w:r>
        <w:rPr>
          <w:rFonts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 Д.Стецюка.</w:t>
      </w:r>
    </w:p>
    <w:p w14:paraId="6483F11D" w14:textId="77777777" w:rsidR="00A8728F" w:rsidRPr="006D058B" w:rsidRDefault="00A8728F" w:rsidP="00A8728F">
      <w:pPr>
        <w:jc w:val="both"/>
        <w:rPr>
          <w:rFonts w:cs="Times New Roman"/>
          <w:sz w:val="28"/>
          <w:szCs w:val="28"/>
          <w:lang w:val="uk-UA"/>
        </w:rPr>
      </w:pPr>
    </w:p>
    <w:p w14:paraId="34C5DE65" w14:textId="77777777" w:rsidR="00A8728F" w:rsidRPr="006D058B" w:rsidRDefault="00A8728F" w:rsidP="00A8728F">
      <w:pPr>
        <w:rPr>
          <w:rFonts w:cs="Times New Roman"/>
          <w:sz w:val="28"/>
          <w:szCs w:val="28"/>
          <w:lang w:val="uk-UA"/>
        </w:rPr>
      </w:pPr>
    </w:p>
    <w:p w14:paraId="25F1A202" w14:textId="77777777" w:rsidR="00A8728F" w:rsidRPr="006D058B" w:rsidRDefault="00A8728F" w:rsidP="00A8728F">
      <w:pPr>
        <w:rPr>
          <w:rFonts w:cs="Times New Roman"/>
          <w:szCs w:val="28"/>
          <w:lang w:val="uk-UA"/>
        </w:rPr>
      </w:pPr>
      <w:r w:rsidRPr="006D058B">
        <w:rPr>
          <w:rFonts w:cs="Times New Roman"/>
          <w:sz w:val="28"/>
          <w:szCs w:val="28"/>
          <w:lang w:val="uk-UA"/>
        </w:rPr>
        <w:t>Міський голова</w:t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</w:r>
      <w:r w:rsidRPr="006D058B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41E0EDFC" w14:textId="77777777" w:rsidR="00A8728F" w:rsidRPr="006D058B" w:rsidRDefault="00A8728F" w:rsidP="00A8728F">
      <w:pPr>
        <w:rPr>
          <w:rFonts w:cs="Times New Roman"/>
        </w:rPr>
      </w:pPr>
    </w:p>
    <w:p w14:paraId="6D16AC6B" w14:textId="77777777" w:rsidR="00A8728F" w:rsidRPr="006D058B" w:rsidRDefault="00A8728F" w:rsidP="00A8728F">
      <w:pPr>
        <w:jc w:val="both"/>
      </w:pPr>
    </w:p>
    <w:p w14:paraId="19E176D7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402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28F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1062"/>
  <w15:chartTrackingRefBased/>
  <w15:docId w15:val="{405AD531-818E-4E48-A724-5999BE0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8F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A87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235:prv174-2022" TargetMode="External"/><Relationship Id="rId13" Type="http://schemas.openxmlformats.org/officeDocument/2006/relationships/hyperlink" Target="http://doc.varash-rada.gov.ua/component/documents/18104:prv169-2022" TargetMode="External"/><Relationship Id="rId18" Type="http://schemas.openxmlformats.org/officeDocument/2006/relationships/hyperlink" Target="http://doc.varash-rada.gov.ua/component/documents/18093:prv163-202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8097:prv166-2022" TargetMode="External"/><Relationship Id="rId7" Type="http://schemas.openxmlformats.org/officeDocument/2006/relationships/hyperlink" Target="http://doc.varash-rada.gov.ua/component/documents/18172:prv172-2022" TargetMode="External"/><Relationship Id="rId12" Type="http://schemas.openxmlformats.org/officeDocument/2006/relationships/hyperlink" Target="http://doc.varash-rada.gov.ua/component/documents/18106:prv168-2022" TargetMode="External"/><Relationship Id="rId17" Type="http://schemas.openxmlformats.org/officeDocument/2006/relationships/hyperlink" Target="http://doc.varash-rada.gov.ua/component/documents/18092:prv162-202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8250:prv176-2022" TargetMode="External"/><Relationship Id="rId20" Type="http://schemas.openxmlformats.org/officeDocument/2006/relationships/hyperlink" Target="http://doc.varash-rada.gov.ua/component/documents/18095:prv165-202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8105:prv167-2022" TargetMode="External"/><Relationship Id="rId11" Type="http://schemas.openxmlformats.org/officeDocument/2006/relationships/hyperlink" Target="http://doc.varash-rada.gov.ua/component/documents/18050:prv157-2022" TargetMode="External"/><Relationship Id="rId24" Type="http://schemas.openxmlformats.org/officeDocument/2006/relationships/hyperlink" Target="http://doc.varash-rada.gov.ua/component/documents/18248:prv177-2022" TargetMode="External"/><Relationship Id="rId5" Type="http://schemas.openxmlformats.org/officeDocument/2006/relationships/hyperlink" Target="http://doc.varash-rada.gov.ua/component/documents/18028:prv148-2022" TargetMode="External"/><Relationship Id="rId15" Type="http://schemas.openxmlformats.org/officeDocument/2006/relationships/hyperlink" Target="http://doc.varash-rada.gov.ua/component/documents/18109:prv171-2022" TargetMode="External"/><Relationship Id="rId23" Type="http://schemas.openxmlformats.org/officeDocument/2006/relationships/hyperlink" Target="http://doc.varash-rada.gov.ua/component/documents/18236:prv175-2022" TargetMode="External"/><Relationship Id="rId10" Type="http://schemas.openxmlformats.org/officeDocument/2006/relationships/hyperlink" Target="http://doc.varash-rada.gov.ua/component/documents/18049:prv156-2022" TargetMode="External"/><Relationship Id="rId19" Type="http://schemas.openxmlformats.org/officeDocument/2006/relationships/hyperlink" Target="http://doc.varash-rada.gov.ua/component/documents/18094:prv164-2022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18087:prv161-2022" TargetMode="External"/><Relationship Id="rId14" Type="http://schemas.openxmlformats.org/officeDocument/2006/relationships/hyperlink" Target="http://doc.varash-rada.gov.ua/component/documents/18108:prv170-2022" TargetMode="External"/><Relationship Id="rId22" Type="http://schemas.openxmlformats.org/officeDocument/2006/relationships/hyperlink" Target="http://doc.varash-rada.gov.ua/component/documents/18221:prv173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3537</Words>
  <Characters>2017</Characters>
  <Application>Microsoft Office Word</Application>
  <DocSecurity>0</DocSecurity>
  <Lines>16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2022-05-31T13:21:00Z</dcterms:created>
  <dcterms:modified xsi:type="dcterms:W3CDTF">2022-05-31T13:26:00Z</dcterms:modified>
</cp:coreProperties>
</file>