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6870" w:rsidRPr="00EF74B0" w:rsidRDefault="00F66870" w:rsidP="00F66870">
      <w:pPr>
        <w:jc w:val="center"/>
        <w:rPr>
          <w:rFonts w:ascii="Times New Roman CYR" w:eastAsia="Batang" w:hAnsi="Times New Roman CYR" w:cs="Times New Roman"/>
          <w:bCs/>
          <w:sz w:val="28"/>
          <w:szCs w:val="32"/>
          <w:lang w:val="uk-UA"/>
        </w:rPr>
      </w:pPr>
      <w:r w:rsidRPr="00EF74B0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350E3F58" wp14:editId="7EA0DAD2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870" w:rsidRPr="00EF74B0" w:rsidRDefault="00F66870" w:rsidP="00F66870">
      <w:pPr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EF74B0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УКРАЇНА</w:t>
      </w:r>
    </w:p>
    <w:p w:rsidR="00F66870" w:rsidRPr="00EF74B0" w:rsidRDefault="00F66870" w:rsidP="00F66870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EF74B0">
        <w:rPr>
          <w:rFonts w:ascii="Times New Roman CYR" w:eastAsia="Batang" w:hAnsi="Times New Roman CYR" w:cs="Times New Roman"/>
          <w:b/>
          <w:bCs/>
          <w:sz w:val="28"/>
          <w:lang w:val="uk-UA"/>
        </w:rPr>
        <w:t>РІВНЕНСЬКА ОБЛАСТЬ</w:t>
      </w:r>
    </w:p>
    <w:p w:rsidR="00F66870" w:rsidRPr="00EF74B0" w:rsidRDefault="00F66870" w:rsidP="00F66870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EF74B0">
        <w:rPr>
          <w:rFonts w:ascii="Times New Roman CYR" w:eastAsia="Batang" w:hAnsi="Times New Roman CYR" w:cs="Times New Roman"/>
          <w:b/>
          <w:bCs/>
          <w:sz w:val="28"/>
          <w:lang w:val="uk-UA"/>
        </w:rPr>
        <w:t>м. ВАРАШ</w:t>
      </w:r>
    </w:p>
    <w:p w:rsidR="00F66870" w:rsidRPr="00EF74B0" w:rsidRDefault="00F66870" w:rsidP="00F66870">
      <w:pPr>
        <w:rPr>
          <w:rFonts w:eastAsia="Batang" w:cs="Times New Roman"/>
          <w:bCs/>
          <w:sz w:val="28"/>
          <w:lang w:val="uk-UA"/>
        </w:rPr>
      </w:pPr>
    </w:p>
    <w:p w:rsidR="00F66870" w:rsidRPr="00EF74B0" w:rsidRDefault="00F66870" w:rsidP="00F66870">
      <w:pPr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EF74B0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Р О З П О Р Я Д Ж Е Н Н Я</w:t>
      </w:r>
    </w:p>
    <w:p w:rsidR="00F66870" w:rsidRPr="00EF74B0" w:rsidRDefault="00F66870" w:rsidP="00F66870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 w:rsidRPr="00EF74B0">
        <w:rPr>
          <w:rFonts w:ascii="Times New Roman CYR" w:eastAsia="Batang" w:hAnsi="Times New Roman CYR" w:cs="Times New Roman"/>
          <w:b/>
          <w:bCs/>
          <w:sz w:val="28"/>
          <w:lang w:val="uk-UA"/>
        </w:rPr>
        <w:t>міського голови</w:t>
      </w:r>
    </w:p>
    <w:p w:rsidR="00F66870" w:rsidRPr="00EF74B0" w:rsidRDefault="00F66870" w:rsidP="00F66870">
      <w:pPr>
        <w:jc w:val="both"/>
        <w:rPr>
          <w:rFonts w:eastAsia="Batang" w:cs="Times New Roman"/>
          <w:sz w:val="28"/>
          <w:szCs w:val="28"/>
          <w:lang w:val="uk-UA"/>
        </w:rPr>
      </w:pPr>
    </w:p>
    <w:p w:rsidR="00F66870" w:rsidRPr="00254FE0" w:rsidRDefault="00F66870" w:rsidP="00F66870">
      <w:pPr>
        <w:jc w:val="both"/>
        <w:rPr>
          <w:rFonts w:eastAsia="Batang" w:cs="Times New Roman"/>
          <w:bCs/>
          <w:sz w:val="28"/>
          <w:szCs w:val="28"/>
          <w:u w:val="single"/>
          <w:lang w:val="uk-UA"/>
        </w:rPr>
      </w:pPr>
      <w:r w:rsidRPr="00962D72">
        <w:rPr>
          <w:rFonts w:eastAsia="Batang" w:cs="Times New Roman"/>
          <w:sz w:val="28"/>
          <w:szCs w:val="28"/>
          <w:u w:val="single"/>
          <w:lang w:val="uk-UA"/>
        </w:rPr>
        <w:t>11 лютого</w:t>
      </w:r>
      <w:r>
        <w:rPr>
          <w:rFonts w:eastAsia="Batang" w:cs="Times New Roman"/>
          <w:sz w:val="28"/>
          <w:szCs w:val="28"/>
          <w:lang w:val="uk-UA"/>
        </w:rPr>
        <w:t xml:space="preserve"> </w:t>
      </w:r>
      <w:r w:rsidRPr="00EF74B0">
        <w:rPr>
          <w:rFonts w:eastAsia="Batang" w:cs="Times New Roman"/>
          <w:b/>
          <w:sz w:val="28"/>
          <w:szCs w:val="28"/>
          <w:lang w:val="uk-UA"/>
        </w:rPr>
        <w:t>2022 року</w:t>
      </w:r>
      <w:r w:rsidRPr="00EF74B0">
        <w:rPr>
          <w:rFonts w:eastAsia="Batang" w:cs="Times New Roman"/>
          <w:b/>
          <w:sz w:val="28"/>
          <w:szCs w:val="28"/>
          <w:lang w:val="uk-UA"/>
        </w:rPr>
        <w:tab/>
      </w:r>
      <w:r w:rsidRPr="00EF74B0">
        <w:rPr>
          <w:rFonts w:eastAsia="Batang" w:cs="Times New Roman"/>
          <w:b/>
          <w:sz w:val="28"/>
          <w:szCs w:val="28"/>
          <w:lang w:val="uk-UA"/>
        </w:rPr>
        <w:tab/>
        <w:t xml:space="preserve">  </w:t>
      </w:r>
      <w:r w:rsidRPr="00EF74B0">
        <w:rPr>
          <w:rFonts w:eastAsia="Batang" w:cs="Times New Roman"/>
          <w:b/>
          <w:sz w:val="28"/>
          <w:szCs w:val="28"/>
          <w:lang w:val="uk-UA"/>
        </w:rPr>
        <w:tab/>
      </w:r>
      <w:r w:rsidRPr="00EF74B0">
        <w:rPr>
          <w:rFonts w:eastAsia="Batang" w:cs="Times New Roman"/>
          <w:b/>
          <w:sz w:val="28"/>
          <w:szCs w:val="28"/>
          <w:lang w:val="uk-UA"/>
        </w:rPr>
        <w:tab/>
        <w:t xml:space="preserve">       </w:t>
      </w:r>
      <w:r w:rsidRPr="00EF74B0">
        <w:rPr>
          <w:rFonts w:eastAsia="Batang" w:cs="Times New Roman"/>
          <w:b/>
          <w:sz w:val="28"/>
          <w:szCs w:val="28"/>
          <w:lang w:val="uk-UA"/>
        </w:rPr>
        <w:tab/>
        <w:t xml:space="preserve"> </w:t>
      </w:r>
      <w:r w:rsidR="00962D72">
        <w:rPr>
          <w:rFonts w:eastAsia="Batang" w:cs="Times New Roman"/>
          <w:b/>
          <w:sz w:val="28"/>
          <w:szCs w:val="28"/>
          <w:lang w:val="uk-UA"/>
        </w:rPr>
        <w:tab/>
      </w:r>
      <w:r w:rsidRPr="00EF74B0">
        <w:rPr>
          <w:rFonts w:eastAsia="Batang" w:cs="Times New Roman"/>
          <w:b/>
          <w:sz w:val="28"/>
          <w:szCs w:val="28"/>
          <w:lang w:val="uk-UA"/>
        </w:rPr>
        <w:t>№</w:t>
      </w:r>
      <w:r w:rsidRPr="00962D72">
        <w:rPr>
          <w:rFonts w:eastAsia="Batang" w:cs="Times New Roman"/>
          <w:bCs/>
          <w:sz w:val="28"/>
          <w:szCs w:val="28"/>
          <w:u w:val="single"/>
        </w:rPr>
        <w:t>3110-06-</w:t>
      </w:r>
      <w:r w:rsidRPr="00962D72">
        <w:rPr>
          <w:rFonts w:eastAsia="Batang" w:cs="Times New Roman"/>
          <w:bCs/>
          <w:sz w:val="28"/>
          <w:szCs w:val="28"/>
          <w:u w:val="single"/>
          <w:lang w:val="uk-UA"/>
        </w:rPr>
        <w:t>РМГ-</w:t>
      </w:r>
      <w:r w:rsidRPr="00962D72">
        <w:rPr>
          <w:rFonts w:eastAsia="Batang" w:cs="Times New Roman"/>
          <w:bCs/>
          <w:sz w:val="28"/>
          <w:szCs w:val="28"/>
          <w:u w:val="single"/>
          <w:lang w:val="en-US"/>
        </w:rPr>
        <w:t>29</w:t>
      </w:r>
      <w:r w:rsidRPr="00962D72">
        <w:rPr>
          <w:rFonts w:eastAsia="Batang" w:cs="Times New Roman"/>
          <w:bCs/>
          <w:sz w:val="28"/>
          <w:szCs w:val="28"/>
          <w:u w:val="single"/>
          <w:lang w:val="uk-UA"/>
        </w:rPr>
        <w:t>-22</w:t>
      </w:r>
    </w:p>
    <w:p w:rsidR="003D2105" w:rsidRDefault="003D2105">
      <w:pPr>
        <w:rPr>
          <w:lang w:val="uk-UA"/>
        </w:rPr>
      </w:pPr>
    </w:p>
    <w:p w:rsidR="00962D72" w:rsidRDefault="00962D72" w:rsidP="00962D72">
      <w:pPr>
        <w:pStyle w:val="Default"/>
      </w:pPr>
    </w:p>
    <w:p w:rsidR="00962D72" w:rsidRDefault="00962D72" w:rsidP="00962D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підвищення захищеності </w:t>
      </w:r>
    </w:p>
    <w:p w:rsidR="00962D72" w:rsidRDefault="00962D72" w:rsidP="00962D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електронних інформаційних ресурсів </w:t>
      </w:r>
    </w:p>
    <w:p w:rsidR="00962D72" w:rsidRDefault="00962D72" w:rsidP="00962D72">
      <w:pPr>
        <w:rPr>
          <w:sz w:val="28"/>
          <w:szCs w:val="28"/>
        </w:rPr>
      </w:pPr>
      <w:r>
        <w:rPr>
          <w:sz w:val="28"/>
          <w:szCs w:val="28"/>
        </w:rPr>
        <w:t>та інформаційно-телекомунікаційних систем</w:t>
      </w:r>
    </w:p>
    <w:p w:rsidR="00962D72" w:rsidRDefault="00962D72" w:rsidP="00962D72">
      <w:pPr>
        <w:rPr>
          <w:sz w:val="28"/>
          <w:szCs w:val="28"/>
        </w:rPr>
      </w:pPr>
    </w:p>
    <w:p w:rsidR="00962D72" w:rsidRDefault="00962D72" w:rsidP="00962D72">
      <w:pPr>
        <w:pStyle w:val="Default"/>
      </w:pPr>
    </w:p>
    <w:p w:rsidR="00962D72" w:rsidRDefault="00962D72" w:rsidP="00962D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62D72">
        <w:rPr>
          <w:sz w:val="28"/>
          <w:szCs w:val="28"/>
          <w:lang w:val="uk-UA"/>
        </w:rPr>
        <w:t>З метою підвищення рівня безпеки в інформаційних системах виконавчих органів Вараської міської ради, відповідно до Закону України «Про інформацію», Закону України «Про основні засади забезпечення кібербезпеки України», Закону України «Про захист інформації в інформаційно-телекомунікаційних системах», керуючись пунктом двадцятим частини четвертої статті 42 Закону України «Про місцеве самоврядування в Україні»:</w:t>
      </w:r>
    </w:p>
    <w:p w:rsidR="00962D72" w:rsidRDefault="00962D72" w:rsidP="00962D72">
      <w:pPr>
        <w:pStyle w:val="Default"/>
      </w:pPr>
    </w:p>
    <w:p w:rsidR="00962D72" w:rsidRDefault="00962D72" w:rsidP="00962D72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1. Відділу інформаційних технологій виконавчого комітету Вараської міської ради: </w:t>
      </w:r>
    </w:p>
    <w:p w:rsidR="00962D72" w:rsidRDefault="00962D72" w:rsidP="00962D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1.1. Забезпечити сталу роботу інформаційних ресурсів структурних підрозділів виконавчого комітету ВМР та реалізацію заходів щодо їх безпеки з урахуванням сучасних стандартів та новітніх досвідів боротьби з кіберзагрозами. Працювати над створенням стійкої системи захисту у складі технічних, програмних і організаційно-адміністративних заходів протидії кіберзагрозам для підтримки цілісності даних, унеможливлення несанкціонованого доступу до них, уникнення витоку інформації тощо. </w:t>
      </w:r>
    </w:p>
    <w:p w:rsidR="00962D72" w:rsidRDefault="00962D72" w:rsidP="00962D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1.2. Впроваджувати засоби комплексної системи захисту інформації. </w:t>
      </w:r>
    </w:p>
    <w:p w:rsidR="00962D72" w:rsidRDefault="00962D72" w:rsidP="00962D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1.3. Продовжити виконання заходів, спрямованих на використання лише ліцензійного програмного забезпечення в усіх сферах діяльності структурних підрозділів виконавчого комітету Вараської міської ради. </w:t>
      </w:r>
    </w:p>
    <w:p w:rsidR="00962D72" w:rsidRDefault="00962D72" w:rsidP="00962D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1.4. Забезпечити обмеження можливості запуску виконуваних файлів отриманих електронною поштою. </w:t>
      </w:r>
    </w:p>
    <w:p w:rsidR="00962D72" w:rsidRDefault="00962D72" w:rsidP="00962D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1.5. Підвищити контроль за вхідними/вихідними потоками даних. </w:t>
      </w:r>
    </w:p>
    <w:p w:rsidR="00962D72" w:rsidRDefault="00962D72" w:rsidP="00962D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1.6. Обмежити права облікових записів користувачів ПК із правами адміністратора.</w:t>
      </w:r>
    </w:p>
    <w:p w:rsidR="00962D72" w:rsidRDefault="00962D72" w:rsidP="00962D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1.7. Забезпечити контроль цілісності засобів захисту інформації та швидке реагування на їх вихід з ладу або порушення режимів функціонування. </w:t>
      </w:r>
    </w:p>
    <w:p w:rsidR="00962D72" w:rsidRDefault="00962D72" w:rsidP="00962D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1.8. У разі виявлення шкідливих програм, отриманих електронною поштою, повідомляти Управління СБ України в Рівненській області шляхом </w:t>
      </w:r>
      <w:r>
        <w:rPr>
          <w:sz w:val="28"/>
          <w:szCs w:val="28"/>
        </w:rPr>
        <w:lastRenderedPageBreak/>
        <w:t xml:space="preserve">надсилання повідомлень на офіційну поштову адресу та передавати їх узгодженими каналами зв’язку. </w:t>
      </w:r>
    </w:p>
    <w:p w:rsidR="00962D72" w:rsidRDefault="00962D72" w:rsidP="00962D72">
      <w:pPr>
        <w:pStyle w:val="Default"/>
        <w:jc w:val="both"/>
        <w:rPr>
          <w:sz w:val="28"/>
          <w:szCs w:val="28"/>
        </w:rPr>
      </w:pPr>
    </w:p>
    <w:p w:rsidR="00962D72" w:rsidRDefault="00962D72" w:rsidP="00962D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Працівникам виконавчих органів Вараської міської ради під час отримання листів електронною поштою: </w:t>
      </w:r>
    </w:p>
    <w:p w:rsidR="00962D72" w:rsidRDefault="00962D72" w:rsidP="00962D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2.1. Перевіряти файли вкладень електронної пошти на наявність комп'ютерних вірусів. </w:t>
      </w:r>
    </w:p>
    <w:p w:rsidR="00962D72" w:rsidRDefault="00962D72" w:rsidP="00962D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62D72">
        <w:rPr>
          <w:sz w:val="28"/>
          <w:szCs w:val="28"/>
          <w:lang w:val="uk-UA"/>
        </w:rPr>
        <w:t>2.2. Не відкривати файли та посилання, які надійшли з невідомих джерел та мають особливо такі розширення, як (.</w:t>
      </w:r>
      <w:r>
        <w:rPr>
          <w:sz w:val="28"/>
          <w:szCs w:val="28"/>
        </w:rPr>
        <w:t>ADE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ADP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BAT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CHM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CMD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COM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CPL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EXE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HTA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INS</w:t>
      </w:r>
      <w:r w:rsidRPr="00962D7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ISP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JAR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JS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JSE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LIB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LNK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MDE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MSC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MSI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MSP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MST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NSH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PIF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SCR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SCT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SHB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SYS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VB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VBE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VBS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VXD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WSC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WSF</w:t>
      </w:r>
      <w:r w:rsidRPr="00962D72">
        <w:rPr>
          <w:sz w:val="28"/>
          <w:szCs w:val="28"/>
          <w:lang w:val="uk-UA"/>
        </w:rPr>
        <w:t>, .</w:t>
      </w:r>
      <w:r>
        <w:rPr>
          <w:sz w:val="28"/>
          <w:szCs w:val="28"/>
        </w:rPr>
        <w:t>WSH</w:t>
      </w:r>
      <w:r w:rsidRPr="00962D72">
        <w:rPr>
          <w:sz w:val="28"/>
          <w:szCs w:val="28"/>
          <w:lang w:val="uk-UA"/>
        </w:rPr>
        <w:t>).</w:t>
      </w:r>
    </w:p>
    <w:p w:rsidR="00962D72" w:rsidRDefault="00962D72" w:rsidP="00962D72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2.3. Не використовувати електронну пошту для цілей, не пов’язаних з виконанням посадових обов’язків. </w:t>
      </w:r>
    </w:p>
    <w:p w:rsidR="002F08F5" w:rsidRDefault="00962D72" w:rsidP="002F08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62D72">
        <w:rPr>
          <w:sz w:val="28"/>
          <w:szCs w:val="28"/>
          <w:lang w:val="uk-UA"/>
        </w:rPr>
        <w:t>2.4. У разі виявлення архівів чи файлів із можливим шкідливим програмним забезпеченням, повідомляти працівників відділу інформаційних технологій виконавчого комітету Вараської міської ради.</w:t>
      </w:r>
    </w:p>
    <w:p w:rsidR="002F08F5" w:rsidRPr="002F08F5" w:rsidRDefault="002F08F5" w:rsidP="002F08F5">
      <w:pPr>
        <w:jc w:val="both"/>
        <w:rPr>
          <w:sz w:val="28"/>
          <w:szCs w:val="28"/>
          <w:lang w:val="uk-UA"/>
        </w:rPr>
      </w:pPr>
    </w:p>
    <w:p w:rsidR="002F08F5" w:rsidRDefault="002F08F5" w:rsidP="002F08F5">
      <w:pPr>
        <w:autoSpaceDE w:val="0"/>
        <w:autoSpaceDN w:val="0"/>
        <w:adjustRightInd w:val="0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2F08F5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3. Контроль за виконанням даного розпорядження покласти на керуючого справами виконавчого Вараської міської ради Сергія ДЕНЕГУ. </w:t>
      </w:r>
    </w:p>
    <w:p w:rsidR="002F08F5" w:rsidRDefault="002F08F5" w:rsidP="002F08F5">
      <w:pPr>
        <w:autoSpaceDE w:val="0"/>
        <w:autoSpaceDN w:val="0"/>
        <w:adjustRightInd w:val="0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2F08F5" w:rsidRPr="002F08F5" w:rsidRDefault="002F08F5" w:rsidP="002F08F5">
      <w:pPr>
        <w:autoSpaceDE w:val="0"/>
        <w:autoSpaceDN w:val="0"/>
        <w:adjustRightInd w:val="0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2F08F5" w:rsidRDefault="002F08F5" w:rsidP="002F08F5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2F08F5">
        <w:rPr>
          <w:rFonts w:eastAsiaTheme="minorHAnsi" w:cs="Times New Roman"/>
          <w:color w:val="000000"/>
          <w:sz w:val="28"/>
          <w:szCs w:val="28"/>
          <w:lang w:val="uk-UA" w:eastAsia="en-US"/>
        </w:rPr>
        <w:t>Міський голова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2F08F5">
        <w:rPr>
          <w:rFonts w:eastAsiaTheme="minorHAnsi" w:cs="Times New Roman"/>
          <w:color w:val="000000"/>
          <w:sz w:val="28"/>
          <w:szCs w:val="28"/>
          <w:lang w:val="uk-UA" w:eastAsia="en-US"/>
        </w:rPr>
        <w:t>Олександр МЕНЗУЛ</w:t>
      </w:r>
      <w:bookmarkStart w:id="0" w:name="_GoBack"/>
      <w:bookmarkEnd w:id="0"/>
    </w:p>
    <w:p w:rsidR="002F08F5" w:rsidRDefault="002F08F5" w:rsidP="002F08F5">
      <w:pPr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2F08F5" w:rsidRPr="002F08F5" w:rsidRDefault="002F08F5" w:rsidP="002F08F5">
      <w:pPr>
        <w:jc w:val="both"/>
        <w:rPr>
          <w:lang w:val="uk-UA"/>
        </w:rPr>
      </w:pPr>
    </w:p>
    <w:sectPr w:rsidR="002F08F5" w:rsidRPr="002F08F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AN13B Half Height">
    <w:altName w:val="EA N 13 BHalf Heigh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7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08F5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2D72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870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22CB"/>
  <w15:chartTrackingRefBased/>
  <w15:docId w15:val="{78FF66D9-BA8D-4DAB-803E-0423E8FA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870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962D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1964</Words>
  <Characters>1121</Characters>
  <Application>Microsoft Office Word</Application>
  <DocSecurity>0</DocSecurity>
  <Lines>9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3</cp:revision>
  <dcterms:created xsi:type="dcterms:W3CDTF">2022-02-14T06:13:00Z</dcterms:created>
  <dcterms:modified xsi:type="dcterms:W3CDTF">2022-02-14T06:16:00Z</dcterms:modified>
</cp:coreProperties>
</file>