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522" w:rsidRPr="004D5522" w:rsidRDefault="004D5522" w:rsidP="004D5522">
      <w:pPr>
        <w:spacing w:after="120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val="uk-UA"/>
        </w:rPr>
      </w:pPr>
      <w:r w:rsidRPr="004D5522">
        <w:rPr>
          <w:rFonts w:ascii="Times New Roman CYR" w:eastAsia="Times New Roman" w:hAnsi="Times New Roman CYR" w:cs="Times New Roman"/>
          <w:b/>
          <w:noProof/>
          <w:color w:val="002060"/>
          <w:sz w:val="28"/>
          <w:szCs w:val="28"/>
          <w:lang w:val="uk-UA"/>
        </w:rPr>
        <w:drawing>
          <wp:inline distT="0" distB="0" distL="0" distR="0" wp14:anchorId="6E172667" wp14:editId="26B6D986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22" w:rsidRPr="004D5522" w:rsidRDefault="004D5522" w:rsidP="004D5522">
      <w:pPr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</w:pP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М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І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С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Ь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К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И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Й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 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 xml:space="preserve"> Г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О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Л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О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В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</w:rPr>
        <w:t xml:space="preserve"> </w:t>
      </w: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А</w:t>
      </w:r>
    </w:p>
    <w:p w:rsidR="004D5522" w:rsidRPr="004D5522" w:rsidRDefault="004D5522" w:rsidP="004D5522">
      <w:pPr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</w:pPr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 xml:space="preserve">м. </w:t>
      </w:r>
      <w:proofErr w:type="spellStart"/>
      <w:r w:rsidRPr="004D5522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Вараш</w:t>
      </w:r>
      <w:proofErr w:type="spellEnd"/>
    </w:p>
    <w:p w:rsidR="004D5522" w:rsidRPr="004D5522" w:rsidRDefault="004D5522" w:rsidP="004D5522">
      <w:pPr>
        <w:spacing w:before="120"/>
        <w:jc w:val="center"/>
        <w:rPr>
          <w:rFonts w:ascii="Times New Roman CYR" w:eastAsia="Batang" w:hAnsi="Times New Roman CYR" w:cs="Times New Roman"/>
          <w:b/>
          <w:color w:val="000080"/>
          <w:sz w:val="32"/>
          <w:szCs w:val="32"/>
          <w:lang w:val="uk-UA"/>
        </w:rPr>
      </w:pPr>
      <w:r w:rsidRPr="004D5522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Р О З П О Р Я Д Ж Е Н </w:t>
      </w:r>
      <w:proofErr w:type="spellStart"/>
      <w:r w:rsidRPr="004D5522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4D5522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:rsidR="004D5522" w:rsidRDefault="004D5522" w:rsidP="004D5522">
      <w:pPr>
        <w:jc w:val="both"/>
        <w:rPr>
          <w:sz w:val="28"/>
          <w:szCs w:val="28"/>
        </w:rPr>
      </w:pPr>
    </w:p>
    <w:p w:rsidR="003D2105" w:rsidRDefault="004D5522" w:rsidP="004D5522">
      <w:pPr>
        <w:jc w:val="both"/>
        <w:rPr>
          <w:sz w:val="28"/>
          <w:szCs w:val="28"/>
        </w:rPr>
      </w:pPr>
      <w:r w:rsidRPr="004D5522">
        <w:rPr>
          <w:sz w:val="28"/>
          <w:szCs w:val="28"/>
        </w:rPr>
        <w:t xml:space="preserve">18.07.2023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5522">
        <w:rPr>
          <w:sz w:val="28"/>
          <w:szCs w:val="28"/>
        </w:rPr>
        <w:t>№194-Род-23-1430</w:t>
      </w:r>
    </w:p>
    <w:p w:rsidR="004D5522" w:rsidRDefault="004D5522" w:rsidP="004D5522">
      <w:pPr>
        <w:jc w:val="both"/>
        <w:rPr>
          <w:sz w:val="28"/>
          <w:szCs w:val="28"/>
        </w:rPr>
      </w:pPr>
    </w:p>
    <w:p w:rsidR="004D5522" w:rsidRDefault="004D5522" w:rsidP="004D55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скасування розпорядження </w:t>
      </w:r>
    </w:p>
    <w:p w:rsidR="004D5522" w:rsidRDefault="004D5522" w:rsidP="004D55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від 10.07.2023 </w:t>
      </w:r>
    </w:p>
    <w:p w:rsidR="004D5522" w:rsidRDefault="004D5522" w:rsidP="004D5522">
      <w:pPr>
        <w:jc w:val="both"/>
        <w:rPr>
          <w:sz w:val="28"/>
          <w:szCs w:val="28"/>
        </w:rPr>
      </w:pPr>
      <w:r>
        <w:rPr>
          <w:sz w:val="28"/>
          <w:szCs w:val="28"/>
        </w:rPr>
        <w:t>№184-Род-23-7210</w:t>
      </w:r>
    </w:p>
    <w:p w:rsidR="004D5522" w:rsidRDefault="004D5522" w:rsidP="004D5522">
      <w:pPr>
        <w:jc w:val="both"/>
        <w:rPr>
          <w:sz w:val="28"/>
          <w:szCs w:val="28"/>
        </w:rPr>
      </w:pPr>
    </w:p>
    <w:p w:rsidR="004D5522" w:rsidRDefault="004D5522" w:rsidP="004D5522">
      <w:pPr>
        <w:pStyle w:val="Default"/>
      </w:pPr>
    </w:p>
    <w:p w:rsidR="004D5522" w:rsidRDefault="004D5522" w:rsidP="004D55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5522">
        <w:rPr>
          <w:sz w:val="28"/>
          <w:szCs w:val="28"/>
          <w:lang w:val="uk-UA"/>
        </w:rPr>
        <w:t xml:space="preserve">Враховуючи службову записку управління безпеки та внутрішнього контролю виконавчого комітету </w:t>
      </w:r>
      <w:proofErr w:type="spellStart"/>
      <w:r w:rsidRPr="004D5522">
        <w:rPr>
          <w:sz w:val="28"/>
          <w:szCs w:val="28"/>
          <w:lang w:val="uk-UA"/>
        </w:rPr>
        <w:t>Вараської</w:t>
      </w:r>
      <w:proofErr w:type="spellEnd"/>
      <w:r w:rsidRPr="004D5522">
        <w:rPr>
          <w:sz w:val="28"/>
          <w:szCs w:val="28"/>
          <w:lang w:val="uk-UA"/>
        </w:rPr>
        <w:t xml:space="preserve"> міської ради від 13.06.2023 №1430- СЛ-3110-10-537-23 «Про розроблення міської Програми профілактики правопорушень та боротьби із злочинністю у </w:t>
      </w:r>
      <w:proofErr w:type="spellStart"/>
      <w:r w:rsidRPr="004D5522">
        <w:rPr>
          <w:sz w:val="28"/>
          <w:szCs w:val="28"/>
          <w:lang w:val="uk-UA"/>
        </w:rPr>
        <w:t>Вараській</w:t>
      </w:r>
      <w:proofErr w:type="spellEnd"/>
      <w:r w:rsidRPr="004D5522">
        <w:rPr>
          <w:sz w:val="28"/>
          <w:szCs w:val="28"/>
          <w:lang w:val="uk-UA"/>
        </w:rPr>
        <w:t xml:space="preserve"> міській територіальній громаді на 2024-2028 роки», керуючись ст.42 Закону України «Про місцеве самоврядування в Україні»:</w:t>
      </w:r>
    </w:p>
    <w:p w:rsidR="004D5522" w:rsidRDefault="004D5522" w:rsidP="004D5522">
      <w:pPr>
        <w:pStyle w:val="Default"/>
      </w:pPr>
    </w:p>
    <w:p w:rsidR="004D5522" w:rsidRDefault="004D5522" w:rsidP="004D5522">
      <w:pPr>
        <w:pStyle w:val="Default"/>
        <w:spacing w:after="27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Скасувати розпорядження міського голови від 10.07.2023 №184-Род-23- 7210 «Про розробку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Програми «Безпечна громада» на 2024-2028 роки. </w:t>
      </w:r>
    </w:p>
    <w:p w:rsidR="004D5522" w:rsidRDefault="004D5522" w:rsidP="004D55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Начальнику управління економіки та розвитку громади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Ірині БАРАБУХ надати пояснення на ім’я першого заступника міського голови Павла ПАВЛИШИНА про причину не доведення до відома першому заступнику міського голови інформації, викладеної в службовій записці від 05.07.2023 №7210-СЛ-3110-10-581-23. </w:t>
      </w:r>
    </w:p>
    <w:p w:rsidR="004D5522" w:rsidRPr="004D5522" w:rsidRDefault="004D5522" w:rsidP="004D5522">
      <w:pPr>
        <w:pStyle w:val="Default"/>
        <w:jc w:val="both"/>
      </w:pPr>
    </w:p>
    <w:p w:rsidR="004D5522" w:rsidRDefault="004D5522" w:rsidP="004D55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даного розпорядження покласти на першого заступника міського голови Павла ПАВЛИШИНА. </w:t>
      </w:r>
    </w:p>
    <w:p w:rsidR="004D5522" w:rsidRDefault="004D5522" w:rsidP="004D5522">
      <w:pPr>
        <w:pStyle w:val="Default"/>
        <w:jc w:val="both"/>
        <w:rPr>
          <w:sz w:val="28"/>
          <w:szCs w:val="28"/>
        </w:rPr>
      </w:pPr>
    </w:p>
    <w:p w:rsidR="004D5522" w:rsidRDefault="004D5522" w:rsidP="004D5522">
      <w:pPr>
        <w:pStyle w:val="Default"/>
        <w:jc w:val="both"/>
        <w:rPr>
          <w:sz w:val="28"/>
          <w:szCs w:val="28"/>
        </w:rPr>
      </w:pPr>
    </w:p>
    <w:p w:rsidR="004D5522" w:rsidRDefault="004D5522" w:rsidP="004D5522">
      <w:pPr>
        <w:pStyle w:val="Default"/>
        <w:jc w:val="both"/>
        <w:rPr>
          <w:sz w:val="28"/>
          <w:szCs w:val="28"/>
        </w:rPr>
      </w:pPr>
    </w:p>
    <w:p w:rsidR="004D5522" w:rsidRDefault="004D5522" w:rsidP="004D55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Олександр МЕНЗУЛ</w:t>
      </w:r>
    </w:p>
    <w:p w:rsidR="004D5522" w:rsidRPr="004D5522" w:rsidRDefault="004D5522" w:rsidP="004D5522">
      <w:pPr>
        <w:jc w:val="both"/>
        <w:rPr>
          <w:sz w:val="28"/>
          <w:szCs w:val="28"/>
          <w:lang w:val="uk-UA"/>
        </w:rPr>
      </w:pPr>
    </w:p>
    <w:sectPr w:rsidR="004D5522" w:rsidRPr="004D552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2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5522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EADA"/>
  <w15:chartTrackingRefBased/>
  <w15:docId w15:val="{8519A0D2-32D6-4077-9F58-E4310B20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4D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2023-07-18T06:11:00Z</dcterms:created>
  <dcterms:modified xsi:type="dcterms:W3CDTF">2023-07-18T06:13:00Z</dcterms:modified>
</cp:coreProperties>
</file>