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8D9" w:rsidRDefault="004C22A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FE5129" wp14:editId="5C7C8103">
            <wp:extent cx="9547761" cy="6246421"/>
            <wp:effectExtent l="0" t="0" r="0" b="25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6938D9" w:rsidSect="0024323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2A6"/>
    <w:rsid w:val="00243239"/>
    <w:rsid w:val="004C22A6"/>
    <w:rsid w:val="006938D9"/>
    <w:rsid w:val="00A3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&#1040;&#1085;&#1072;&#1083;&#1110;&#1079;&#1042;&#1080;&#1076;&#1072;&#1090;&#1082;&#1110;&#1074;\2019\&#1044;&#1110;&#1072;&#1075;&#1088;&#1072;&#1084;&#1080;\&#1044;&#1110;&#1072;&#1075;&#1088;&#1050;&#1088;&#1091;&#1075;010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/>
            </a:pPr>
            <a:r>
              <a:rPr lang="ru-RU" sz="2000" b="1" i="0" baseline="0">
                <a:effectLst/>
              </a:rPr>
              <a:t>Питома вага видатків бюджету м.Вараш за І півріччя 2019р.                  в розрізі економічної класифікації </a:t>
            </a:r>
            <a:endParaRPr lang="ru-RU" sz="2000" baseline="0">
              <a:effectLst/>
            </a:endParaRPr>
          </a:p>
          <a:p>
            <a:pPr>
              <a:defRPr sz="1800"/>
            </a:pPr>
            <a:endParaRPr lang="ru-RU" sz="2000">
              <a:effectLst/>
            </a:endParaRPr>
          </a:p>
        </c:rich>
      </c:tx>
      <c:layout>
        <c:manualLayout>
          <c:xMode val="edge"/>
          <c:yMode val="edge"/>
          <c:x val="0.10145000075853655"/>
          <c:y val="3.0262491664845151E-4"/>
        </c:manualLayout>
      </c:layout>
      <c:overlay val="0"/>
      <c:spPr>
        <a:effectLst>
          <a:glow rad="228600">
            <a:schemeClr val="accent1">
              <a:satMod val="175000"/>
              <a:alpha val="40000"/>
            </a:schemeClr>
          </a:glow>
        </a:effectLst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045363365032041"/>
          <c:y val="8.9453158504901487E-2"/>
          <c:w val="0.66356390150009736"/>
          <c:h val="0.91054684149509857"/>
        </c:manualLayout>
      </c:layout>
      <c:pie3DChart>
        <c:varyColors val="1"/>
        <c:ser>
          <c:idx val="0"/>
          <c:order val="0"/>
          <c:explosion val="28"/>
          <c:dPt>
            <c:idx val="0"/>
            <c:bubble3D val="0"/>
            <c:spPr>
              <a:gradFill>
                <a:gsLst>
                  <a:gs pos="1000">
                    <a:srgbClr val="A2EA66"/>
                  </a:gs>
                  <a:gs pos="0">
                    <a:srgbClr val="92D050"/>
                  </a:gs>
                  <a:gs pos="0">
                    <a:srgbClr val="92D050"/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1"/>
            <c:bubble3D val="0"/>
            <c:spPr>
              <a:gradFill>
                <a:gsLst>
                  <a:gs pos="3335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>
                      <a:lumMod val="40000"/>
                      <a:lumOff val="60000"/>
                    </a:schemeClr>
                  </a:gs>
                  <a:gs pos="50000">
                    <a:schemeClr val="accent2">
                      <a:lumMod val="20000"/>
                      <a:lumOff val="8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3"/>
            <c:bubble3D val="0"/>
            <c:spPr>
              <a:gradFill>
                <a:gsLst>
                  <a:gs pos="17000">
                    <a:srgbClr val="D3AFCA"/>
                  </a:gs>
                  <a:gs pos="0">
                    <a:srgbClr val="CEA0C2"/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c:spPr>
          </c:dPt>
          <c:dPt>
            <c:idx val="6"/>
            <c:bubble3D val="0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7.3685458920705466E-2"/>
                  <c:y val="-0.16761339269162556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Заробітна плата </a:t>
                    </a:r>
                    <a:r>
                      <a:rPr lang="ru-RU"/>
                      <a:t>-           111,7 млн.грн </a:t>
                    </a:r>
                  </a:p>
                  <a:p>
                    <a:r>
                      <a:rPr lang="ru-RU"/>
                      <a:t>40,5 %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1"/>
              <c:layout>
                <c:manualLayout>
                  <c:x val="2.3725140902317331E-2"/>
                  <c:y val="9.030569612723111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Капітальні видатки -                          5,7 млн.грн 2,1%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2"/>
              <c:layout>
                <c:manualLayout>
                  <c:x val="-0.2076534234304965"/>
                  <c:y val="3.672483059921808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Оплата комунальних послуг та енергоносіїв-  4,0 млн.грн 1,5%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3"/>
              <c:layout>
                <c:manualLayout>
                  <c:x val="-2.5506428348138821E-2"/>
                  <c:y val="3.694323932477636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поточні видатки - 129,5 млн.грн 47%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4"/>
              <c:layout>
                <c:manualLayout>
                  <c:x val="-0.14458492935145567"/>
                  <c:y val="-1.082117530525343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Нарахування на оплату праці</a:t>
                    </a:r>
                    <a:r>
                      <a:rPr lang="ru-RU" baseline="0"/>
                      <a:t> </a:t>
                    </a:r>
                    <a:r>
                      <a:rPr lang="ru-RU"/>
                      <a:t>- 24,6 млн.грн 8,9%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5"/>
              <c:layout>
                <c:manualLayout>
                  <c:x val="-0.11326877541305083"/>
                  <c:y val="6.1144120365754472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ЖКГ - 19,1 млн.грн 6,9%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6"/>
              <c:layout>
                <c:manualLayout>
                  <c:x val="-0.11440137568632332"/>
                  <c:y val="1.493464887309374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Утримання та розвиток доріг -                                 1,9 млн.грн 0,7%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7"/>
              <c:layout>
                <c:manualLayout>
                  <c:x val="-0.12101780766990082"/>
                  <c:y val="-7.215732978929710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Реверсна дотація -</a:t>
                    </a:r>
                  </a:p>
                  <a:p>
                    <a:r>
                      <a:rPr lang="ru-RU"/>
                      <a:t>28,2 млн.грн 10,2%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8"/>
              <c:layout>
                <c:manualLayout>
                  <c:x val="-0.19572956101108827"/>
                  <c:y val="3.517506779320184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субвенції з місцевого бюджету -                        16,6 млн.грн 5%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9"/>
              <c:layout>
                <c:manualLayout>
                  <c:x val="-0.12280939349521131"/>
                  <c:y val="-2.490540045527571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Охорона здоров'я - </a:t>
                    </a:r>
                  </a:p>
                  <a:p>
                    <a:r>
                      <a:rPr lang="ru-RU"/>
                      <a:t>32 млн.грн  11,6%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dLbl>
              <c:idx val="10"/>
              <c:layout>
                <c:manualLayout>
                  <c:x val="-0.11779674033034765"/>
                  <c:y val="-3.31049586844036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Інші видатки - </a:t>
                    </a:r>
                  </a:p>
                  <a:p>
                    <a:r>
                      <a:rPr lang="ru-RU"/>
                      <a:t>1,1 млн.грн;   0,4%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млн.грн</c:separator>
            </c:dLbl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млн.грн</c:separator>
            <c:showLeaderLines val="1"/>
          </c:dLbls>
          <c:cat>
            <c:strRef>
              <c:f>'КЕКВ 01.07'!$A$2:$A$6</c:f>
              <c:strCache>
                <c:ptCount val="5"/>
                <c:pt idx="0">
                  <c:v>Заробітна плата</c:v>
                </c:pt>
                <c:pt idx="1">
                  <c:v>Нарахування на оплату праці</c:v>
                </c:pt>
                <c:pt idx="2">
                  <c:v>Оплата комунальних послуг та енергоносіїв</c:v>
                </c:pt>
                <c:pt idx="3">
                  <c:v>Інші поточні видатки</c:v>
                </c:pt>
                <c:pt idx="4">
                  <c:v>Капітальні видатки</c:v>
                </c:pt>
              </c:strCache>
            </c:strRef>
          </c:cat>
          <c:val>
            <c:numRef>
              <c:f>'КЕКВ 01.07'!$B$2:$B$6</c:f>
              <c:numCache>
                <c:formatCode>General</c:formatCode>
                <c:ptCount val="5"/>
                <c:pt idx="0">
                  <c:v>111.7</c:v>
                </c:pt>
                <c:pt idx="1">
                  <c:v>24.6</c:v>
                </c:pt>
                <c:pt idx="2" formatCode="0.0">
                  <c:v>4</c:v>
                </c:pt>
                <c:pt idx="3">
                  <c:v>129.5</c:v>
                </c:pt>
                <c:pt idx="4">
                  <c:v>5.7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0.51941</cdr:x>
      <cdr:y>0.35652</cdr:y>
    </cdr:from>
    <cdr:to>
      <cdr:x>0.78042</cdr:x>
      <cdr:y>0.56432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90535" y="1952415"/>
          <a:ext cx="2357120" cy="11379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0.42152</cdr:x>
      <cdr:y>0.39383</cdr:y>
    </cdr:from>
    <cdr:to>
      <cdr:x>0.71854</cdr:x>
      <cdr:y>0.55725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806587" y="2277391"/>
          <a:ext cx="2682267" cy="94502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scene3d xmlns:a="http://schemas.openxmlformats.org/drawingml/2006/main">
          <a:camera prst="orthographicFront"/>
          <a:lightRig rig="threePt" dir="t"/>
        </a:scene3d>
        <a:sp3d xmlns:a="http://schemas.openxmlformats.org/drawingml/2006/main">
          <a:bevelT prst="angle"/>
        </a:sp3d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800" b="1"/>
        </a:p>
        <a:p xmlns:a="http://schemas.openxmlformats.org/drawingml/2006/main">
          <a:pPr algn="ctr"/>
          <a:r>
            <a:rPr lang="ru-RU" sz="1600" b="1"/>
            <a:t>Загальна сума видатків  бюджету - 275,5 млн.грн 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2019-08-14T05:49:00Z</dcterms:created>
  <dcterms:modified xsi:type="dcterms:W3CDTF">2019-08-14T05:49:00Z</dcterms:modified>
</cp:coreProperties>
</file>