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A77781" w:rsidRDefault="008B110E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</w:t>
      </w:r>
      <w:proofErr w:type="spellStart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</w:p>
    <w:p w:rsidR="00CC354E" w:rsidRPr="00CC621B" w:rsidRDefault="008B110E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</w:t>
      </w:r>
      <w:r w:rsidR="00A77781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A36A17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 листопада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bookmarkStart w:id="0" w:name="_GoBack"/>
      <w:bookmarkEnd w:id="0"/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0F776C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72044B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Міністерства енергетики України від 30.09.2020 №626 «Про затвердження переліків засобів індивідуального захисту органів дихання та захисних споруд цивільного захисту, що фінансуються у 2020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спостереження», 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Рівненської обласної державної адміністрації від 23.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10.2020 №658, від 23.10.2020 №660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міжбюджетні трансферти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73070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0D67" w:rsidRPr="00BF6324" w:rsidRDefault="008C0D67" w:rsidP="008B63D7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Збільшити доходи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Вараської міської об’єднаної територіальної громади на 2020 рік на </w:t>
      </w:r>
      <w:r w:rsidR="00BF6324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2 675 768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C0D67" w:rsidRPr="00BF6324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309A" w:rsidRPr="00BF6324" w:rsidRDefault="004C309A" w:rsidP="008B63D7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 Вараської міської об’єднаної територіальної громади на 2020 рік на суму </w:t>
      </w:r>
      <w:r w:rsidR="00BF6324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2 586 585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3) за рахунок:</w:t>
      </w:r>
    </w:p>
    <w:p w:rsidR="00F515D1" w:rsidRPr="00BF6324" w:rsidRDefault="00BF6324" w:rsidP="00F515D1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446 602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4C309A" w:rsidRPr="00BF6324" w:rsidRDefault="00BF6324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hAnsi="Times New Roman" w:cs="Times New Roman"/>
          <w:sz w:val="28"/>
          <w:szCs w:val="28"/>
          <w:lang w:eastAsia="ru-RU"/>
        </w:rPr>
        <w:t>субвенції з місцевого бюджету на фінансування заходів соціально-економічної компенсації ризику населення, яке проживає на території зони спостереження, за рахунок відповідної субвенції з державного бюджету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641 063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F515D1" w:rsidRPr="00BF6324" w:rsidRDefault="00BF6324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743 873 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грн;</w:t>
      </w:r>
    </w:p>
    <w:p w:rsidR="00F515D1" w:rsidRPr="00BF6324" w:rsidRDefault="00BF6324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забезпечення якісної, сучасної та доступної загальної середньої освіти </w:t>
      </w:r>
      <w:r w:rsidR="00D14C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</w:t>
      </w:r>
      <w:r w:rsidR="00D14C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відповідної субвенції з державного бюджету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755 047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84E9F" w:rsidRPr="00EB518B" w:rsidRDefault="00CC354E" w:rsidP="00DD404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BF63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89 183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F63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8C71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рахуноккоштів, що передаються із загального фонду до бюджету розвитку (спеціального фонду)</w:t>
      </w:r>
      <w:r w:rsidR="00B84E9F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89 183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(додатки 3, 5).</w:t>
      </w:r>
    </w:p>
    <w:p w:rsidR="00B84E9F" w:rsidRPr="00EB518B" w:rsidRDefault="00B84E9F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518B" w:rsidRDefault="00CC354E" w:rsidP="00EB518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E46D33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84 771 032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121 374 999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116 163 313,13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E46D33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00C0E" w:rsidRPr="008B63D7" w:rsidRDefault="00200C0E" w:rsidP="00200C0E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рішення.</w:t>
      </w:r>
    </w:p>
    <w:p w:rsidR="00CC354E" w:rsidRPr="008B63D7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200C0E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661E5" w:rsidRPr="008B63D7" w:rsidRDefault="00B661E5" w:rsidP="00B661E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E5" w:rsidRPr="008B63D7" w:rsidRDefault="00B661E5" w:rsidP="00675C4D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6 до цього рішення.</w:t>
      </w:r>
    </w:p>
    <w:p w:rsidR="00356825" w:rsidRPr="00CA1220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B8B" w:rsidRPr="008B63D7" w:rsidRDefault="00242B8B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об’єднаної територіальної громади на 2020 рік в сумі </w:t>
      </w:r>
      <w:r w:rsidR="008B63D7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605 622 537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8B63D7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8B63D7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520 851 505 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661E5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</w:t>
      </w:r>
      <w:r w:rsidR="00186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міського голову О.Мензула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6E" w:rsidRDefault="00D56D6E">
      <w:pPr>
        <w:spacing w:after="0" w:line="240" w:lineRule="auto"/>
      </w:pPr>
      <w:r>
        <w:separator/>
      </w:r>
    </w:p>
  </w:endnote>
  <w:endnote w:type="continuationSeparator" w:id="1">
    <w:p w:rsidR="00D56D6E" w:rsidRDefault="00D5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F27445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6E" w:rsidRDefault="00D56D6E">
      <w:pPr>
        <w:spacing w:after="0" w:line="240" w:lineRule="auto"/>
      </w:pPr>
      <w:r>
        <w:separator/>
      </w:r>
    </w:p>
  </w:footnote>
  <w:footnote w:type="continuationSeparator" w:id="1">
    <w:p w:rsidR="00D56D6E" w:rsidRDefault="00D5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F27445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186822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76C"/>
    <w:rsid w:val="0011113F"/>
    <w:rsid w:val="00116BC7"/>
    <w:rsid w:val="00186822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C1A67"/>
    <w:rsid w:val="002E5C9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63171"/>
    <w:rsid w:val="004C309A"/>
    <w:rsid w:val="004D759A"/>
    <w:rsid w:val="004E2305"/>
    <w:rsid w:val="0050140A"/>
    <w:rsid w:val="005222A8"/>
    <w:rsid w:val="005522D9"/>
    <w:rsid w:val="00585915"/>
    <w:rsid w:val="00590076"/>
    <w:rsid w:val="005A7C7D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71C24"/>
    <w:rsid w:val="0079605C"/>
    <w:rsid w:val="007C04DF"/>
    <w:rsid w:val="007D6C31"/>
    <w:rsid w:val="00866ED5"/>
    <w:rsid w:val="00876EB0"/>
    <w:rsid w:val="008B110E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246B0"/>
    <w:rsid w:val="00A36A17"/>
    <w:rsid w:val="00A77781"/>
    <w:rsid w:val="00AE5669"/>
    <w:rsid w:val="00AE6BEE"/>
    <w:rsid w:val="00B1013B"/>
    <w:rsid w:val="00B2243A"/>
    <w:rsid w:val="00B52EDA"/>
    <w:rsid w:val="00B661E5"/>
    <w:rsid w:val="00B84E9F"/>
    <w:rsid w:val="00BA21A4"/>
    <w:rsid w:val="00BB0E21"/>
    <w:rsid w:val="00BF6324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56D6E"/>
    <w:rsid w:val="00D73E84"/>
    <w:rsid w:val="00D74DBD"/>
    <w:rsid w:val="00D75201"/>
    <w:rsid w:val="00D93BC9"/>
    <w:rsid w:val="00DA1A05"/>
    <w:rsid w:val="00DD404E"/>
    <w:rsid w:val="00E0559F"/>
    <w:rsid w:val="00E1094F"/>
    <w:rsid w:val="00E46D33"/>
    <w:rsid w:val="00E92C7A"/>
    <w:rsid w:val="00EB518B"/>
    <w:rsid w:val="00EE4558"/>
    <w:rsid w:val="00F27445"/>
    <w:rsid w:val="00F348C9"/>
    <w:rsid w:val="00F515D1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3361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2020-11-09T07:04:00Z</cp:lastPrinted>
  <dcterms:created xsi:type="dcterms:W3CDTF">2020-11-09T09:08:00Z</dcterms:created>
  <dcterms:modified xsi:type="dcterms:W3CDTF">2020-11-09T14:48:00Z</dcterms:modified>
</cp:coreProperties>
</file>