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186" w:rsidRDefault="005F1186" w:rsidP="005F118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21767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66725" cy="6381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186" w:rsidRPr="00321767" w:rsidRDefault="005F1186" w:rsidP="005F118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21767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5F1186" w:rsidRPr="00321767" w:rsidRDefault="005F1186" w:rsidP="005F118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21767">
        <w:rPr>
          <w:rFonts w:ascii="Times New Roman" w:hAnsi="Times New Roman"/>
          <w:b/>
          <w:sz w:val="28"/>
          <w:szCs w:val="28"/>
          <w:lang w:val="uk-UA"/>
        </w:rPr>
        <w:t>ВАРАСЬКА МІСЬКА РАДА</w:t>
      </w:r>
    </w:p>
    <w:p w:rsidR="00303DDA" w:rsidRDefault="00303DDA" w:rsidP="005F118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</w:t>
      </w:r>
      <w:r w:rsidR="005F1186" w:rsidRPr="00321767">
        <w:rPr>
          <w:rFonts w:ascii="Times New Roman" w:hAnsi="Times New Roman"/>
          <w:b/>
          <w:sz w:val="28"/>
          <w:szCs w:val="28"/>
          <w:lang w:val="uk-UA"/>
        </w:rPr>
        <w:t>РІВНЕНСЬКОЇ ОБЛАСТІ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5F1186" w:rsidRDefault="00303DDA" w:rsidP="005F118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</w:t>
      </w:r>
      <w:r w:rsidRPr="00321767">
        <w:rPr>
          <w:rFonts w:ascii="Times New Roman" w:hAnsi="Times New Roman"/>
          <w:b/>
          <w:sz w:val="28"/>
          <w:szCs w:val="28"/>
          <w:lang w:val="uk-UA"/>
        </w:rPr>
        <w:t>Восьме скликання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Я.ЄМЕЛЬЯНОВ</w:t>
      </w:r>
    </w:p>
    <w:p w:rsidR="0085380C" w:rsidRPr="00321767" w:rsidRDefault="0085380C" w:rsidP="005F118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___________сесія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5F1186" w:rsidRPr="00321767" w:rsidRDefault="00303DDA" w:rsidP="00303DDA">
      <w:pPr>
        <w:ind w:left="3540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F1186" w:rsidRPr="00321767"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5F1186" w:rsidRDefault="005F1186" w:rsidP="005F1186">
      <w:pPr>
        <w:rPr>
          <w:lang w:val="uk-UA"/>
        </w:rPr>
      </w:pPr>
    </w:p>
    <w:p w:rsidR="005F1186" w:rsidRDefault="00932167" w:rsidP="005F1186">
      <w:pPr>
        <w:pStyle w:val="a3"/>
        <w:ind w:left="-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08 лютого</w:t>
      </w:r>
      <w:r w:rsidR="005F1186">
        <w:rPr>
          <w:rFonts w:ascii="Times New Roman" w:hAnsi="Times New Roman"/>
          <w:sz w:val="28"/>
          <w:szCs w:val="28"/>
          <w:lang w:val="uk-UA"/>
        </w:rPr>
        <w:t xml:space="preserve"> 2021 року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№ 107</w:t>
      </w:r>
    </w:p>
    <w:p w:rsidR="005F1186" w:rsidRDefault="005F1186" w:rsidP="005F1186">
      <w:pPr>
        <w:pStyle w:val="a3"/>
        <w:ind w:left="-426"/>
        <w:rPr>
          <w:rFonts w:ascii="Times New Roman" w:hAnsi="Times New Roman"/>
          <w:sz w:val="28"/>
          <w:szCs w:val="28"/>
          <w:lang w:val="uk-UA"/>
        </w:rPr>
      </w:pPr>
    </w:p>
    <w:p w:rsidR="005F1186" w:rsidRDefault="005F1186" w:rsidP="005F1186">
      <w:pPr>
        <w:pStyle w:val="a3"/>
        <w:ind w:left="-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передачу комунального майна </w:t>
      </w:r>
    </w:p>
    <w:p w:rsidR="00F1512A" w:rsidRDefault="00440A26" w:rsidP="005F1186">
      <w:pPr>
        <w:pStyle w:val="a3"/>
        <w:ind w:left="-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F1512A">
        <w:rPr>
          <w:rFonts w:ascii="Times New Roman" w:hAnsi="Times New Roman"/>
          <w:sz w:val="28"/>
          <w:szCs w:val="28"/>
          <w:lang w:val="uk-UA"/>
        </w:rPr>
        <w:t>а праві господарського відання</w:t>
      </w:r>
    </w:p>
    <w:p w:rsidR="005F1186" w:rsidRDefault="00F1512A" w:rsidP="005F1186">
      <w:pPr>
        <w:pStyle w:val="a3"/>
        <w:ind w:left="-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«Благоустрій» ВМР</w:t>
      </w:r>
    </w:p>
    <w:p w:rsidR="00F1512A" w:rsidRDefault="00F1512A" w:rsidP="005F1186">
      <w:pPr>
        <w:pStyle w:val="a3"/>
        <w:ind w:left="-426"/>
        <w:rPr>
          <w:rFonts w:ascii="Times New Roman" w:hAnsi="Times New Roman"/>
          <w:sz w:val="28"/>
          <w:szCs w:val="28"/>
          <w:lang w:val="uk-UA"/>
        </w:rPr>
      </w:pPr>
    </w:p>
    <w:p w:rsidR="005F1186" w:rsidRDefault="005F1186" w:rsidP="006B3895">
      <w:pPr>
        <w:pStyle w:val="a3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виконання рішення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від15.12.2020 року </w:t>
      </w:r>
      <w:r w:rsidR="001462F7">
        <w:rPr>
          <w:rFonts w:ascii="Times New Roman" w:hAnsi="Times New Roman"/>
          <w:sz w:val="28"/>
          <w:szCs w:val="28"/>
          <w:lang w:val="uk-UA"/>
        </w:rPr>
        <w:t xml:space="preserve">                      № </w:t>
      </w:r>
      <w:r w:rsidR="00303DDA">
        <w:rPr>
          <w:rFonts w:ascii="Times New Roman" w:hAnsi="Times New Roman"/>
          <w:sz w:val="28"/>
          <w:szCs w:val="28"/>
          <w:lang w:val="uk-UA"/>
        </w:rPr>
        <w:t>62</w:t>
      </w:r>
      <w:r w:rsidR="006B38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7001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6B3895">
        <w:rPr>
          <w:rFonts w:ascii="Times New Roman" w:hAnsi="Times New Roman"/>
          <w:sz w:val="28"/>
          <w:szCs w:val="28"/>
          <w:lang w:val="uk-UA"/>
        </w:rPr>
        <w:t xml:space="preserve">початок реорганізації </w:t>
      </w:r>
      <w:proofErr w:type="spellStart"/>
      <w:r w:rsidR="006B3895">
        <w:rPr>
          <w:rFonts w:ascii="Times New Roman" w:hAnsi="Times New Roman"/>
          <w:sz w:val="28"/>
          <w:szCs w:val="28"/>
          <w:lang w:val="uk-UA"/>
        </w:rPr>
        <w:t>Старорафалівської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шляхом приєднання до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ради», відповідно до Закону </w:t>
      </w:r>
      <w:r w:rsidR="008C7436">
        <w:rPr>
          <w:rFonts w:ascii="Times New Roman" w:hAnsi="Times New Roman"/>
          <w:sz w:val="28"/>
          <w:szCs w:val="28"/>
          <w:lang w:val="uk-UA"/>
        </w:rPr>
        <w:t>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 «Про </w:t>
      </w:r>
      <w:r w:rsidR="008C7436">
        <w:rPr>
          <w:rFonts w:ascii="Times New Roman" w:hAnsi="Times New Roman"/>
          <w:sz w:val="28"/>
          <w:szCs w:val="28"/>
          <w:lang w:val="uk-UA"/>
        </w:rPr>
        <w:t>передачу</w:t>
      </w:r>
      <w:r>
        <w:rPr>
          <w:rFonts w:ascii="Times New Roman" w:hAnsi="Times New Roman"/>
          <w:sz w:val="28"/>
          <w:szCs w:val="28"/>
          <w:lang w:val="uk-UA"/>
        </w:rPr>
        <w:t xml:space="preserve"> об’єктів права </w:t>
      </w:r>
      <w:r w:rsidR="008C7436">
        <w:rPr>
          <w:rFonts w:ascii="Times New Roman" w:hAnsi="Times New Roman"/>
          <w:sz w:val="28"/>
          <w:szCs w:val="28"/>
          <w:lang w:val="uk-UA"/>
        </w:rPr>
        <w:t xml:space="preserve"> державної та комунальної </w:t>
      </w:r>
      <w:r>
        <w:rPr>
          <w:rFonts w:ascii="Times New Roman" w:hAnsi="Times New Roman"/>
          <w:sz w:val="28"/>
          <w:szCs w:val="28"/>
          <w:lang w:val="uk-UA"/>
        </w:rPr>
        <w:t>власності</w:t>
      </w:r>
      <w:r w:rsidR="008C7436">
        <w:rPr>
          <w:rFonts w:ascii="Times New Roman" w:hAnsi="Times New Roman"/>
          <w:sz w:val="28"/>
          <w:szCs w:val="28"/>
          <w:lang w:val="uk-UA"/>
        </w:rPr>
        <w:t>», ст.ст. 328, 329 Цивільного Кодексу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D4377">
        <w:rPr>
          <w:rFonts w:ascii="Times New Roman" w:hAnsi="Times New Roman"/>
          <w:sz w:val="28"/>
          <w:szCs w:val="28"/>
          <w:lang w:val="uk-UA"/>
        </w:rPr>
        <w:t xml:space="preserve">керуючись ст. 59, </w:t>
      </w:r>
      <w:r w:rsidR="008C7436">
        <w:rPr>
          <w:rFonts w:ascii="Times New Roman" w:hAnsi="Times New Roman"/>
          <w:sz w:val="28"/>
          <w:szCs w:val="28"/>
          <w:lang w:val="uk-UA"/>
        </w:rPr>
        <w:t xml:space="preserve">60 Закону України «Про місцеве самоврядування в Україні»,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:rsidR="005F1186" w:rsidRDefault="005F1186" w:rsidP="005F1186">
      <w:pPr>
        <w:pStyle w:val="a3"/>
        <w:ind w:firstLine="5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F1186" w:rsidRDefault="005F1186" w:rsidP="005F1186">
      <w:pPr>
        <w:pStyle w:val="a3"/>
        <w:ind w:firstLine="568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5F1186" w:rsidRDefault="005F1186" w:rsidP="005F1186">
      <w:pPr>
        <w:pStyle w:val="a3"/>
        <w:ind w:firstLine="5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F1186" w:rsidRDefault="005F1186" w:rsidP="005F1186">
      <w:pPr>
        <w:pStyle w:val="a3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8C7436">
        <w:rPr>
          <w:rFonts w:ascii="Times New Roman" w:hAnsi="Times New Roman"/>
          <w:sz w:val="28"/>
          <w:szCs w:val="28"/>
          <w:lang w:val="uk-UA"/>
        </w:rPr>
        <w:t xml:space="preserve">Передати з балансу </w:t>
      </w:r>
      <w:r w:rsidR="00F1512A">
        <w:rPr>
          <w:rFonts w:ascii="Times New Roman" w:hAnsi="Times New Roman"/>
          <w:sz w:val="28"/>
          <w:szCs w:val="28"/>
          <w:lang w:val="uk-UA"/>
        </w:rPr>
        <w:t xml:space="preserve">виконавчого комітету </w:t>
      </w:r>
      <w:proofErr w:type="spellStart"/>
      <w:r w:rsidR="00F1512A">
        <w:rPr>
          <w:rFonts w:ascii="Times New Roman" w:hAnsi="Times New Roman"/>
          <w:sz w:val="28"/>
          <w:szCs w:val="28"/>
          <w:lang w:val="uk-UA"/>
        </w:rPr>
        <w:t>Вараської</w:t>
      </w:r>
      <w:proofErr w:type="spellEnd"/>
      <w:r w:rsidR="00F1512A">
        <w:rPr>
          <w:rFonts w:ascii="Times New Roman" w:hAnsi="Times New Roman"/>
          <w:sz w:val="28"/>
          <w:szCs w:val="28"/>
          <w:lang w:val="uk-UA"/>
        </w:rPr>
        <w:t xml:space="preserve"> міської </w:t>
      </w:r>
      <w:r w:rsidR="008C7436">
        <w:rPr>
          <w:rFonts w:ascii="Times New Roman" w:hAnsi="Times New Roman"/>
          <w:sz w:val="28"/>
          <w:szCs w:val="28"/>
          <w:lang w:val="uk-UA"/>
        </w:rPr>
        <w:t xml:space="preserve">ради на баланс </w:t>
      </w:r>
      <w:r w:rsidR="00F1512A">
        <w:rPr>
          <w:rFonts w:ascii="Times New Roman" w:hAnsi="Times New Roman"/>
          <w:sz w:val="28"/>
          <w:szCs w:val="28"/>
          <w:lang w:val="uk-UA"/>
        </w:rPr>
        <w:t>комунального підприємства «Благоустрій»</w:t>
      </w:r>
      <w:r w:rsidR="008C74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C7436">
        <w:rPr>
          <w:rFonts w:ascii="Times New Roman" w:hAnsi="Times New Roman"/>
          <w:sz w:val="28"/>
          <w:szCs w:val="28"/>
          <w:lang w:val="uk-UA"/>
        </w:rPr>
        <w:t>Вараської</w:t>
      </w:r>
      <w:proofErr w:type="spellEnd"/>
      <w:r w:rsidR="008C7436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r w:rsidR="00F1512A">
        <w:rPr>
          <w:rFonts w:ascii="Times New Roman" w:hAnsi="Times New Roman"/>
          <w:sz w:val="28"/>
          <w:szCs w:val="28"/>
          <w:lang w:val="uk-UA"/>
        </w:rPr>
        <w:t xml:space="preserve">на праві господарського відання </w:t>
      </w:r>
      <w:r w:rsidR="008C7436">
        <w:rPr>
          <w:rFonts w:ascii="Times New Roman" w:hAnsi="Times New Roman"/>
          <w:sz w:val="28"/>
          <w:szCs w:val="28"/>
          <w:lang w:val="uk-UA"/>
        </w:rPr>
        <w:t>к</w:t>
      </w:r>
      <w:r w:rsidR="00B82E3B">
        <w:rPr>
          <w:rFonts w:ascii="Times New Roman" w:hAnsi="Times New Roman"/>
          <w:sz w:val="28"/>
          <w:szCs w:val="28"/>
          <w:lang w:val="uk-UA"/>
        </w:rPr>
        <w:t>омунальне майно згідно з додатком</w:t>
      </w:r>
      <w:r w:rsidR="008C7436">
        <w:rPr>
          <w:rFonts w:ascii="Times New Roman" w:hAnsi="Times New Roman"/>
          <w:sz w:val="28"/>
          <w:szCs w:val="28"/>
          <w:lang w:val="uk-UA"/>
        </w:rPr>
        <w:t>.</w:t>
      </w:r>
    </w:p>
    <w:p w:rsidR="00655218" w:rsidRDefault="00655218" w:rsidP="005F1186">
      <w:pPr>
        <w:pStyle w:val="a3"/>
        <w:ind w:firstLine="568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</w:p>
    <w:p w:rsidR="008C7436" w:rsidRDefault="005F1186" w:rsidP="005F1186">
      <w:pPr>
        <w:pStyle w:val="a3"/>
        <w:ind w:firstLine="56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B389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2. </w:t>
      </w:r>
      <w:r w:rsidR="008C7436" w:rsidRPr="006B389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Виконавчому комітету </w:t>
      </w:r>
      <w:proofErr w:type="spellStart"/>
      <w:r w:rsidR="008C7436" w:rsidRPr="006B389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="008C7436" w:rsidRPr="006B389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міської ради </w:t>
      </w:r>
      <w:r w:rsidR="00B82E3B" w:rsidRPr="006B389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передати з свого балансу вищевказане комунальне майно</w:t>
      </w:r>
      <w:r w:rsidR="008C7436" w:rsidRPr="006B389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на баланс </w:t>
      </w:r>
      <w:r w:rsidR="00B82E3B" w:rsidRPr="006B389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комунального підприємства «Благоустрій» </w:t>
      </w:r>
      <w:proofErr w:type="spellStart"/>
      <w:r w:rsidR="00B82E3B" w:rsidRPr="006B389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="00B82E3B" w:rsidRPr="006B389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міської ради</w:t>
      </w:r>
      <w:r w:rsidR="008C7436" w:rsidRPr="006B389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у відповідності до вимог чинн</w:t>
      </w:r>
      <w:r w:rsidR="00B82E3B" w:rsidRPr="006B389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ого законодавства</w:t>
      </w:r>
      <w:r w:rsidR="008C7436" w:rsidRPr="006B389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655218" w:rsidRPr="006B3895" w:rsidRDefault="00655218" w:rsidP="005F1186">
      <w:pPr>
        <w:pStyle w:val="a3"/>
        <w:ind w:firstLine="56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B82E3B" w:rsidRDefault="008C7436" w:rsidP="001462F7">
      <w:pPr>
        <w:pStyle w:val="a3"/>
        <w:ind w:firstLine="56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B389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3. </w:t>
      </w:r>
      <w:r w:rsidR="00B82E3B" w:rsidRPr="006B389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Комунальному підприємству «Благоустрій» </w:t>
      </w:r>
      <w:proofErr w:type="spellStart"/>
      <w:r w:rsidR="00B82E3B" w:rsidRPr="006B389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="00B82E3B" w:rsidRPr="006B389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міської ради прийняти на баланс вищезазначене майно на праві господарського відання у відповідності до чинного законодавства України забезпечивши його бухгалтерський облік.</w:t>
      </w:r>
    </w:p>
    <w:p w:rsidR="00655218" w:rsidRPr="006B3895" w:rsidRDefault="00655218" w:rsidP="00B82E3B">
      <w:pPr>
        <w:pStyle w:val="a3"/>
        <w:ind w:firstLine="56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8C7436" w:rsidRPr="006B3895" w:rsidRDefault="008C7436" w:rsidP="008C7436">
      <w:pPr>
        <w:pStyle w:val="a3"/>
        <w:ind w:firstLine="56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B389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4.</w:t>
      </w:r>
      <w:r w:rsidR="00B82E3B" w:rsidRPr="006B389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941037" w:rsidRPr="006B389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Контроль за виконанням рішення залишаю за постійною </w:t>
      </w:r>
      <w:r w:rsidR="00B82E3B" w:rsidRPr="006B389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депутатською </w:t>
      </w:r>
      <w:r w:rsidR="00941037" w:rsidRPr="006B389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комісією з питань комунального майна, житлової політики, ін</w:t>
      </w:r>
      <w:r w:rsidR="008C516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фраструктури та благоустрою</w:t>
      </w:r>
      <w:r w:rsidR="00941037" w:rsidRPr="006B389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8C7436" w:rsidRDefault="008C7436" w:rsidP="008C7436">
      <w:pPr>
        <w:pStyle w:val="a3"/>
        <w:ind w:firstLine="568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</w:p>
    <w:p w:rsidR="005F1186" w:rsidRDefault="005F1186" w:rsidP="005F1186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3895" w:rsidRDefault="006B3895" w:rsidP="005F1186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</w:p>
    <w:p w:rsidR="005F1186" w:rsidRDefault="00303DDA" w:rsidP="005F1186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1186"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5F1186">
        <w:rPr>
          <w:rFonts w:ascii="Times New Roman" w:hAnsi="Times New Roman"/>
          <w:sz w:val="28"/>
          <w:szCs w:val="28"/>
          <w:lang w:val="uk-UA"/>
        </w:rPr>
        <w:t xml:space="preserve">                     Олександр МЕНЗУЛ</w:t>
      </w:r>
    </w:p>
    <w:p w:rsidR="00B72CF9" w:rsidRDefault="00B72CF9" w:rsidP="005F1186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72CF9" w:rsidRDefault="00B72CF9" w:rsidP="005F1186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72CF9" w:rsidRDefault="00B72CF9" w:rsidP="005F1186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81F18" w:rsidRPr="00181F18" w:rsidRDefault="00181F18" w:rsidP="00181F18">
      <w:pPr>
        <w:ind w:left="5103"/>
        <w:jc w:val="right"/>
        <w:rPr>
          <w:rFonts w:ascii="Times New Roman" w:eastAsia="Calibri" w:hAnsi="Times New Roman"/>
          <w:sz w:val="28"/>
          <w:szCs w:val="28"/>
          <w:lang w:val="ru-RU"/>
        </w:rPr>
      </w:pPr>
      <w:proofErr w:type="spellStart"/>
      <w:r w:rsidRPr="00181F18">
        <w:rPr>
          <w:rFonts w:ascii="Times New Roman" w:eastAsia="Calibri" w:hAnsi="Times New Roman"/>
          <w:sz w:val="28"/>
          <w:szCs w:val="28"/>
          <w:lang w:val="ru-RU"/>
        </w:rPr>
        <w:lastRenderedPageBreak/>
        <w:t>Додаток</w:t>
      </w:r>
      <w:proofErr w:type="spellEnd"/>
      <w:r w:rsidRPr="00181F18">
        <w:rPr>
          <w:rFonts w:ascii="Times New Roman" w:eastAsia="Calibri" w:hAnsi="Times New Roman"/>
          <w:sz w:val="28"/>
          <w:szCs w:val="28"/>
          <w:lang w:val="ru-RU"/>
        </w:rPr>
        <w:t xml:space="preserve"> 1</w:t>
      </w:r>
    </w:p>
    <w:p w:rsidR="00181F18" w:rsidRPr="00181F18" w:rsidRDefault="00181F18" w:rsidP="00181F18">
      <w:pPr>
        <w:ind w:left="5103"/>
        <w:jc w:val="right"/>
        <w:rPr>
          <w:rFonts w:ascii="Times New Roman" w:eastAsia="Calibri" w:hAnsi="Times New Roman"/>
          <w:sz w:val="28"/>
          <w:szCs w:val="28"/>
          <w:lang w:val="ru-RU"/>
        </w:rPr>
      </w:pPr>
      <w:r w:rsidRPr="00181F18">
        <w:rPr>
          <w:rFonts w:ascii="Times New Roman" w:eastAsia="Calibri" w:hAnsi="Times New Roman"/>
          <w:sz w:val="28"/>
          <w:szCs w:val="28"/>
          <w:lang w:val="ru-RU"/>
        </w:rPr>
        <w:t xml:space="preserve">до </w:t>
      </w:r>
      <w:proofErr w:type="spellStart"/>
      <w:proofErr w:type="gramStart"/>
      <w:r w:rsidRPr="00181F18">
        <w:rPr>
          <w:rFonts w:ascii="Times New Roman" w:eastAsia="Calibri" w:hAnsi="Times New Roman"/>
          <w:sz w:val="28"/>
          <w:szCs w:val="28"/>
          <w:lang w:val="ru-RU"/>
        </w:rPr>
        <w:t>р</w:t>
      </w:r>
      <w:proofErr w:type="gramEnd"/>
      <w:r w:rsidRPr="00181F18">
        <w:rPr>
          <w:rFonts w:ascii="Times New Roman" w:eastAsia="Calibri" w:hAnsi="Times New Roman"/>
          <w:sz w:val="28"/>
          <w:szCs w:val="28"/>
          <w:lang w:val="ru-RU"/>
        </w:rPr>
        <w:t>ішення</w:t>
      </w:r>
      <w:proofErr w:type="spellEnd"/>
      <w:r w:rsidRPr="00181F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181F18">
        <w:rPr>
          <w:rFonts w:ascii="Times New Roman" w:eastAsia="Calibri" w:hAnsi="Times New Roman"/>
          <w:sz w:val="28"/>
          <w:szCs w:val="28"/>
          <w:lang w:val="ru-RU"/>
        </w:rPr>
        <w:t>Вараської</w:t>
      </w:r>
      <w:proofErr w:type="spellEnd"/>
      <w:r w:rsidRPr="00181F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181F18">
        <w:rPr>
          <w:rFonts w:ascii="Times New Roman" w:eastAsia="Calibri" w:hAnsi="Times New Roman"/>
          <w:sz w:val="28"/>
          <w:szCs w:val="28"/>
          <w:lang w:val="ru-RU"/>
        </w:rPr>
        <w:t>міської</w:t>
      </w:r>
      <w:proofErr w:type="spellEnd"/>
      <w:r w:rsidRPr="00181F18">
        <w:rPr>
          <w:rFonts w:ascii="Times New Roman" w:eastAsia="Calibri" w:hAnsi="Times New Roman"/>
          <w:sz w:val="28"/>
          <w:szCs w:val="28"/>
          <w:lang w:val="ru-RU"/>
        </w:rPr>
        <w:t xml:space="preserve"> ради </w:t>
      </w:r>
    </w:p>
    <w:p w:rsidR="00181F18" w:rsidRDefault="00181F18" w:rsidP="00181F18">
      <w:pPr>
        <w:jc w:val="right"/>
        <w:rPr>
          <w:rFonts w:ascii="Times New Roman" w:eastAsia="Calibri" w:hAnsi="Times New Roman"/>
          <w:sz w:val="28"/>
          <w:szCs w:val="28"/>
          <w:lang w:val="ru-RU"/>
        </w:rPr>
      </w:pPr>
      <w:r w:rsidRPr="00181F18">
        <w:rPr>
          <w:rFonts w:ascii="Times New Roman" w:eastAsia="Calibri" w:hAnsi="Times New Roman"/>
          <w:sz w:val="28"/>
          <w:szCs w:val="28"/>
          <w:lang w:val="ru-RU"/>
        </w:rPr>
        <w:t>__________________20</w:t>
      </w:r>
      <w:r w:rsidRPr="00181F18">
        <w:rPr>
          <w:rFonts w:ascii="Times New Roman" w:hAnsi="Times New Roman"/>
          <w:sz w:val="28"/>
          <w:szCs w:val="28"/>
          <w:lang w:val="ru-RU"/>
        </w:rPr>
        <w:t>21</w:t>
      </w:r>
      <w:r w:rsidRPr="00181F18">
        <w:rPr>
          <w:rFonts w:ascii="Times New Roman" w:eastAsia="Calibri" w:hAnsi="Times New Roman"/>
          <w:sz w:val="28"/>
          <w:szCs w:val="28"/>
          <w:lang w:val="ru-RU"/>
        </w:rPr>
        <w:t xml:space="preserve"> р. № ____ </w:t>
      </w:r>
    </w:p>
    <w:p w:rsidR="00655218" w:rsidRPr="00181F18" w:rsidRDefault="00655218" w:rsidP="00181F18">
      <w:pPr>
        <w:jc w:val="right"/>
        <w:rPr>
          <w:rFonts w:ascii="Times New Roman" w:eastAsia="Calibri" w:hAnsi="Times New Roman"/>
          <w:sz w:val="28"/>
          <w:szCs w:val="28"/>
          <w:lang w:val="ru-RU"/>
        </w:rPr>
      </w:pPr>
    </w:p>
    <w:p w:rsidR="00843CDD" w:rsidRDefault="00181F18" w:rsidP="00181F1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81F18">
        <w:rPr>
          <w:rFonts w:ascii="Times New Roman" w:hAnsi="Times New Roman"/>
          <w:b/>
          <w:sz w:val="28"/>
          <w:szCs w:val="28"/>
          <w:lang w:val="uk-UA"/>
        </w:rPr>
        <w:t xml:space="preserve">Перелік майна виконавчого комітету </w:t>
      </w:r>
      <w:proofErr w:type="spellStart"/>
      <w:r w:rsidRPr="00181F18">
        <w:rPr>
          <w:rFonts w:ascii="Times New Roman" w:hAnsi="Times New Roman"/>
          <w:b/>
          <w:sz w:val="28"/>
          <w:szCs w:val="28"/>
          <w:lang w:val="uk-UA"/>
        </w:rPr>
        <w:t>Вараської</w:t>
      </w:r>
      <w:proofErr w:type="spellEnd"/>
      <w:r w:rsidRPr="00181F18">
        <w:rPr>
          <w:rFonts w:ascii="Times New Roman" w:hAnsi="Times New Roman"/>
          <w:b/>
          <w:sz w:val="28"/>
          <w:szCs w:val="28"/>
          <w:lang w:val="uk-UA"/>
        </w:rPr>
        <w:t xml:space="preserve"> міської ради,що передається на баланс комунальному підприємству «Благоустрій» </w:t>
      </w:r>
      <w:proofErr w:type="spellStart"/>
      <w:r w:rsidRPr="00181F18">
        <w:rPr>
          <w:rFonts w:ascii="Times New Roman" w:hAnsi="Times New Roman"/>
          <w:b/>
          <w:sz w:val="28"/>
          <w:szCs w:val="28"/>
          <w:lang w:val="uk-UA"/>
        </w:rPr>
        <w:t>Вараської</w:t>
      </w:r>
      <w:proofErr w:type="spellEnd"/>
      <w:r w:rsidRPr="00181F18">
        <w:rPr>
          <w:rFonts w:ascii="Times New Roman" w:hAnsi="Times New Roman"/>
          <w:b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tbl>
      <w:tblPr>
        <w:tblW w:w="9856" w:type="dxa"/>
        <w:tblInd w:w="96" w:type="dxa"/>
        <w:tblLayout w:type="fixed"/>
        <w:tblLook w:val="04A0"/>
      </w:tblPr>
      <w:tblGrid>
        <w:gridCol w:w="717"/>
        <w:gridCol w:w="2120"/>
        <w:gridCol w:w="1415"/>
        <w:gridCol w:w="750"/>
        <w:gridCol w:w="667"/>
        <w:gridCol w:w="567"/>
        <w:gridCol w:w="439"/>
        <w:gridCol w:w="270"/>
        <w:gridCol w:w="457"/>
        <w:gridCol w:w="681"/>
        <w:gridCol w:w="453"/>
        <w:gridCol w:w="142"/>
        <w:gridCol w:w="1115"/>
        <w:gridCol w:w="56"/>
        <w:gridCol w:w="7"/>
      </w:tblGrid>
      <w:tr w:rsidR="003665D3" w:rsidRPr="00655218" w:rsidTr="001462F7">
        <w:trPr>
          <w:trHeight w:val="264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/</w:t>
            </w:r>
            <w:proofErr w:type="spellStart"/>
            <w:proofErr w:type="gram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стисла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характеристика та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призначення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об’єкта</w:t>
            </w:r>
            <w:proofErr w:type="spellEnd"/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Інвентарний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номер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Один</w:t>
            </w:r>
            <w:proofErr w:type="gram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  <w:proofErr w:type="gram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</w:t>
            </w:r>
            <w:proofErr w:type="gram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имір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53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За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даними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бухгалтерського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обл</w:t>
            </w:r>
            <w:proofErr w:type="gram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іку</w:t>
            </w:r>
            <w:proofErr w:type="spellEnd"/>
          </w:p>
        </w:tc>
        <w:tc>
          <w:tcPr>
            <w:tcW w:w="13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5D3" w:rsidRPr="00655218" w:rsidRDefault="003665D3" w:rsidP="00655218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3665D3" w:rsidRPr="00655218" w:rsidTr="001462F7">
        <w:trPr>
          <w:gridAfter w:val="1"/>
          <w:wAfter w:w="7" w:type="dxa"/>
          <w:trHeight w:val="1248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B2348" w:rsidRDefault="00EB234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EB2348" w:rsidRDefault="00EB234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11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первісна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переоцінена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сума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зносу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накопиченої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балансова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</w:tr>
      <w:tr w:rsidR="003665D3" w:rsidRPr="00655218" w:rsidTr="001462F7">
        <w:trPr>
          <w:gridAfter w:val="1"/>
          <w:wAfter w:w="7" w:type="dxa"/>
          <w:trHeight w:val="26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F7550D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F7550D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F7550D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F7550D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8</w:t>
            </w:r>
          </w:p>
        </w:tc>
      </w:tr>
      <w:tr w:rsidR="003665D3" w:rsidRPr="00655218" w:rsidTr="001462F7">
        <w:trPr>
          <w:gridAfter w:val="1"/>
          <w:wAfter w:w="7" w:type="dxa"/>
          <w:trHeight w:val="26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Огорожа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металева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101330004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4707,00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2515</w:t>
            </w:r>
            <w:r w:rsidR="00043499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,00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2192,00</w:t>
            </w:r>
          </w:p>
        </w:tc>
      </w:tr>
      <w:tr w:rsidR="003665D3" w:rsidRPr="00655218" w:rsidTr="001462F7">
        <w:trPr>
          <w:gridAfter w:val="1"/>
          <w:wAfter w:w="7" w:type="dxa"/>
          <w:trHeight w:val="26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Герб села </w:t>
            </w:r>
            <w:proofErr w:type="gram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Стара</w:t>
            </w:r>
            <w:proofErr w:type="gram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Рафалівка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101330005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2196,00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1132</w:t>
            </w:r>
            <w:r w:rsidR="00043499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,00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1064,00</w:t>
            </w:r>
          </w:p>
        </w:tc>
      </w:tr>
      <w:tr w:rsidR="003665D3" w:rsidRPr="00655218" w:rsidTr="001462F7">
        <w:trPr>
          <w:gridAfter w:val="1"/>
          <w:wAfter w:w="7" w:type="dxa"/>
          <w:trHeight w:val="26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Споруди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канави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101330006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км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47860,00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47860</w:t>
            </w:r>
            <w:r w:rsidR="00043499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,00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3665D3" w:rsidRPr="00655218" w:rsidTr="001462F7">
        <w:trPr>
          <w:gridAfter w:val="1"/>
          <w:wAfter w:w="7" w:type="dxa"/>
          <w:trHeight w:val="26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Дороги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101330007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км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36,6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11303,00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5405</w:t>
            </w:r>
            <w:r w:rsidR="00043499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,00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5898,00</w:t>
            </w:r>
          </w:p>
        </w:tc>
      </w:tr>
      <w:tr w:rsidR="003665D3" w:rsidRPr="00655218" w:rsidTr="001462F7">
        <w:trPr>
          <w:gridAfter w:val="1"/>
          <w:wAfter w:w="7" w:type="dxa"/>
          <w:trHeight w:val="26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Вуличне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освітлення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101330008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км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6,14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25836,00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12204</w:t>
            </w:r>
            <w:r w:rsidR="00043499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,00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13632,00</w:t>
            </w:r>
          </w:p>
        </w:tc>
      </w:tr>
      <w:tr w:rsidR="003665D3" w:rsidRPr="00655218" w:rsidTr="001462F7">
        <w:trPr>
          <w:gridAfter w:val="1"/>
          <w:wAfter w:w="7" w:type="dxa"/>
          <w:trHeight w:val="26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Вуличне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освітлення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</w:t>
            </w:r>
            <w:proofErr w:type="gram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. Бабка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101330009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км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3,2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28462,00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24137</w:t>
            </w:r>
            <w:r w:rsidR="00043499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,00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4325,00</w:t>
            </w:r>
          </w:p>
        </w:tc>
      </w:tr>
      <w:tr w:rsidR="003665D3" w:rsidRPr="00655218" w:rsidTr="001462F7">
        <w:trPr>
          <w:gridAfter w:val="1"/>
          <w:wAfter w:w="7" w:type="dxa"/>
          <w:trHeight w:val="26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Водогін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105993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4215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1478242,00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66374</w:t>
            </w:r>
            <w:r w:rsidR="00043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,00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1411868,00</w:t>
            </w:r>
          </w:p>
        </w:tc>
      </w:tr>
      <w:tr w:rsidR="003665D3" w:rsidRPr="00655218" w:rsidTr="001462F7">
        <w:trPr>
          <w:gridAfter w:val="1"/>
          <w:wAfter w:w="7" w:type="dxa"/>
          <w:trHeight w:val="26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Зупинка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</w:t>
            </w:r>
            <w:proofErr w:type="gram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. Стара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Рафалівка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101330009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16225,00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2866</w:t>
            </w:r>
            <w:r w:rsidR="00043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,00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13359,00</w:t>
            </w:r>
          </w:p>
        </w:tc>
      </w:tr>
      <w:tr w:rsidR="003665D3" w:rsidRPr="00655218" w:rsidTr="00440A26">
        <w:trPr>
          <w:gridAfter w:val="1"/>
          <w:wAfter w:w="7" w:type="dxa"/>
          <w:trHeight w:val="30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81F18" w:rsidRPr="00440A26" w:rsidRDefault="00440A26" w:rsidP="00655218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440A2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4278,94</w:t>
            </w:r>
          </w:p>
        </w:tc>
        <w:tc>
          <w:tcPr>
            <w:tcW w:w="11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1614831,0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162493,00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1452338,00</w:t>
            </w:r>
          </w:p>
        </w:tc>
      </w:tr>
      <w:tr w:rsidR="00181F18" w:rsidRPr="00655218" w:rsidTr="001462F7">
        <w:trPr>
          <w:gridAfter w:val="4"/>
          <w:wAfter w:w="1320" w:type="dxa"/>
          <w:trHeight w:val="264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/</w:t>
            </w:r>
            <w:proofErr w:type="spellStart"/>
            <w:proofErr w:type="gram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стисла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характеристика та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призначення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об’єкта</w:t>
            </w:r>
            <w:proofErr w:type="spellEnd"/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Інвентарний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номер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Один</w:t>
            </w:r>
            <w:proofErr w:type="gram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  <w:proofErr w:type="gram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</w:t>
            </w:r>
            <w:proofErr w:type="gram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имір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53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За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даними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бухгалтерського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обл</w:t>
            </w:r>
            <w:proofErr w:type="gram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іку</w:t>
            </w:r>
            <w:proofErr w:type="spellEnd"/>
          </w:p>
        </w:tc>
      </w:tr>
      <w:tr w:rsidR="003665D3" w:rsidRPr="00655218" w:rsidTr="00043499">
        <w:trPr>
          <w:gridAfter w:val="2"/>
          <w:wAfter w:w="63" w:type="dxa"/>
          <w:trHeight w:val="1203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первісна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переоцінена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сума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зносу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накопиченої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балансова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</w:tr>
      <w:tr w:rsidR="003665D3" w:rsidRPr="00655218" w:rsidTr="00043499">
        <w:trPr>
          <w:gridAfter w:val="2"/>
          <w:wAfter w:w="63" w:type="dxa"/>
          <w:trHeight w:val="26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F7550D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F7550D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F7550D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F7550D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8</w:t>
            </w:r>
          </w:p>
        </w:tc>
      </w:tr>
      <w:tr w:rsidR="003665D3" w:rsidRPr="00655218" w:rsidTr="00043499">
        <w:trPr>
          <w:gridAfter w:val="2"/>
          <w:wAfter w:w="63" w:type="dxa"/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Бензопила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101630019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6552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6710</w:t>
            </w:r>
            <w:r w:rsidR="00043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1516</w:t>
            </w:r>
            <w:r w:rsidR="00043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,00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5194</w:t>
            </w:r>
            <w:r w:rsidR="00043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,00</w:t>
            </w:r>
          </w:p>
        </w:tc>
      </w:tr>
      <w:tr w:rsidR="003665D3" w:rsidRPr="00655218" w:rsidTr="00440A26">
        <w:trPr>
          <w:gridAfter w:val="2"/>
          <w:wAfter w:w="63" w:type="dxa"/>
          <w:trHeight w:val="312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1F18" w:rsidRPr="00440A26" w:rsidRDefault="00440A26" w:rsidP="00655218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440A2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1462F7" w:rsidRDefault="00181F18" w:rsidP="00655218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1462F7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6710,0</w:t>
            </w:r>
            <w:r w:rsidR="00043499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1462F7" w:rsidRDefault="00181F18" w:rsidP="00655218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1462F7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1516,00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F18" w:rsidRPr="001462F7" w:rsidRDefault="00181F18" w:rsidP="00655218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1462F7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5194</w:t>
            </w:r>
            <w:r w:rsidR="00043499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,00</w:t>
            </w:r>
          </w:p>
        </w:tc>
      </w:tr>
      <w:tr w:rsidR="003665D3" w:rsidRPr="00655218" w:rsidTr="00440A26">
        <w:trPr>
          <w:gridAfter w:val="2"/>
          <w:wAfter w:w="63" w:type="dxa"/>
          <w:trHeight w:val="240"/>
        </w:trPr>
        <w:tc>
          <w:tcPr>
            <w:tcW w:w="71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3665D3" w:rsidRPr="00655218" w:rsidRDefault="003665D3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3665D3" w:rsidRPr="00655218" w:rsidRDefault="003665D3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3665D3" w:rsidRPr="00655218" w:rsidRDefault="003665D3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3665D3" w:rsidRPr="00655218" w:rsidRDefault="003665D3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3665D3" w:rsidRPr="00655218" w:rsidRDefault="003665D3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0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3665D3" w:rsidRPr="00655218" w:rsidRDefault="003665D3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08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3665D3" w:rsidRPr="00655218" w:rsidRDefault="003665D3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665D3" w:rsidRPr="00655218" w:rsidRDefault="003665D3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3665D3" w:rsidRPr="00655218" w:rsidTr="00043499">
        <w:trPr>
          <w:gridAfter w:val="2"/>
          <w:wAfter w:w="63" w:type="dxa"/>
          <w:trHeight w:val="12"/>
        </w:trPr>
        <w:tc>
          <w:tcPr>
            <w:tcW w:w="71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65D3" w:rsidRPr="00655218" w:rsidRDefault="003665D3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2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65D3" w:rsidRPr="00655218" w:rsidRDefault="003665D3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65D3" w:rsidRPr="00655218" w:rsidRDefault="003665D3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65D3" w:rsidRPr="00655218" w:rsidRDefault="003665D3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6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65D3" w:rsidRPr="00655218" w:rsidRDefault="003665D3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65D3" w:rsidRPr="00655218" w:rsidRDefault="003665D3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08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65D3" w:rsidRPr="00655218" w:rsidRDefault="003665D3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65D3" w:rsidRPr="00655218" w:rsidRDefault="003665D3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3665D3" w:rsidRPr="00655218" w:rsidTr="001462F7">
        <w:trPr>
          <w:gridAfter w:val="2"/>
          <w:wAfter w:w="63" w:type="dxa"/>
          <w:trHeight w:val="264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/</w:t>
            </w:r>
            <w:proofErr w:type="spellStart"/>
            <w:proofErr w:type="gram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стисла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характеристика та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призначення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об’єкта</w:t>
            </w:r>
            <w:proofErr w:type="spellEnd"/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Інвентарний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номер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Один</w:t>
            </w:r>
            <w:proofErr w:type="gram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  <w:proofErr w:type="gram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</w:t>
            </w:r>
            <w:proofErr w:type="gram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имір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08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За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даними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бухгалтерського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обл</w:t>
            </w:r>
            <w:proofErr w:type="gram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іку</w:t>
            </w:r>
            <w:proofErr w:type="spellEnd"/>
          </w:p>
        </w:tc>
        <w:tc>
          <w:tcPr>
            <w:tcW w:w="171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665D3" w:rsidRPr="00655218" w:rsidRDefault="003665D3" w:rsidP="00655218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3665D3" w:rsidRPr="00655218" w:rsidTr="001462F7">
        <w:trPr>
          <w:gridAfter w:val="2"/>
          <w:wAfter w:w="63" w:type="dxa"/>
          <w:trHeight w:val="996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первісна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переоцінена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сума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зносу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накопиченої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балансова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</w:tr>
      <w:tr w:rsidR="003665D3" w:rsidRPr="00655218" w:rsidTr="001462F7">
        <w:trPr>
          <w:gridAfter w:val="2"/>
          <w:wAfter w:w="63" w:type="dxa"/>
          <w:trHeight w:val="26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Електролічильник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№1770484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111300030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25,00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12,00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13,00</w:t>
            </w:r>
          </w:p>
        </w:tc>
      </w:tr>
      <w:tr w:rsidR="003665D3" w:rsidRPr="00655218" w:rsidTr="001462F7">
        <w:trPr>
          <w:gridAfter w:val="2"/>
          <w:wAfter w:w="63" w:type="dxa"/>
          <w:trHeight w:val="26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Герлянда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зовнішня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111300050/51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891,00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445,00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446,00</w:t>
            </w:r>
          </w:p>
        </w:tc>
      </w:tr>
      <w:tr w:rsidR="003665D3" w:rsidRPr="00655218" w:rsidTr="001462F7">
        <w:trPr>
          <w:gridAfter w:val="2"/>
          <w:wAfter w:w="63" w:type="dxa"/>
          <w:trHeight w:val="26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Контейнери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збору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пл</w:t>
            </w:r>
            <w:proofErr w:type="spellEnd"/>
            <w:proofErr w:type="gram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тари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111300052/56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19749,00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9874,00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9874,00</w:t>
            </w:r>
          </w:p>
        </w:tc>
      </w:tr>
      <w:tr w:rsidR="003665D3" w:rsidRPr="00655218" w:rsidTr="001462F7">
        <w:trPr>
          <w:gridAfter w:val="2"/>
          <w:wAfter w:w="63" w:type="dxa"/>
          <w:trHeight w:val="26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Контейнери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proofErr w:type="gram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см</w:t>
            </w:r>
            <w:proofErr w:type="gram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іття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111300057/61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20250,00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10014,00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10236,00</w:t>
            </w:r>
          </w:p>
        </w:tc>
      </w:tr>
      <w:tr w:rsidR="003665D3" w:rsidRPr="00655218" w:rsidTr="001462F7">
        <w:trPr>
          <w:gridAfter w:val="2"/>
          <w:wAfter w:w="63" w:type="dxa"/>
          <w:trHeight w:val="26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6552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Бензокоса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King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111300062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5440,00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5440,00</w:t>
            </w:r>
          </w:p>
        </w:tc>
      </w:tr>
      <w:tr w:rsidR="003665D3" w:rsidRPr="00655218" w:rsidTr="001462F7">
        <w:trPr>
          <w:gridAfter w:val="2"/>
          <w:wAfter w:w="63" w:type="dxa"/>
          <w:trHeight w:val="312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655218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46355,00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20345,00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F18" w:rsidRPr="00655218" w:rsidRDefault="00181F18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26009,00</w:t>
            </w:r>
          </w:p>
        </w:tc>
      </w:tr>
    </w:tbl>
    <w:p w:rsidR="00181F18" w:rsidRDefault="00181F18" w:rsidP="00181F18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F7550D" w:rsidRDefault="00F7550D" w:rsidP="00F7550D">
      <w:pPr>
        <w:ind w:firstLine="0"/>
        <w:jc w:val="both"/>
        <w:rPr>
          <w:sz w:val="28"/>
          <w:szCs w:val="28"/>
          <w:lang w:val="uk-UA"/>
        </w:rPr>
      </w:pPr>
    </w:p>
    <w:p w:rsidR="00F7550D" w:rsidRPr="00F7550D" w:rsidRDefault="00F7550D" w:rsidP="00F7550D">
      <w:pPr>
        <w:ind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7550D">
        <w:rPr>
          <w:rFonts w:ascii="Times New Roman" w:hAnsi="Times New Roman"/>
          <w:sz w:val="28"/>
          <w:szCs w:val="28"/>
          <w:lang w:val="uk-UA"/>
        </w:rPr>
        <w:t xml:space="preserve">Секретар </w:t>
      </w:r>
      <w:r w:rsidR="00655218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Pr="00F7550D">
        <w:rPr>
          <w:rFonts w:ascii="Times New Roman" w:hAnsi="Times New Roman"/>
          <w:sz w:val="28"/>
          <w:szCs w:val="28"/>
          <w:lang w:val="uk-UA"/>
        </w:rPr>
        <w:t>ради                                                   Геннадій ДЕРЕВ’ЯНЧУК</w:t>
      </w:r>
    </w:p>
    <w:p w:rsidR="0085380C" w:rsidRDefault="0085380C" w:rsidP="00181F18">
      <w:pPr>
        <w:rPr>
          <w:rFonts w:ascii="Times New Roman" w:hAnsi="Times New Roman"/>
          <w:sz w:val="28"/>
          <w:szCs w:val="28"/>
          <w:lang w:val="uk-UA"/>
        </w:rPr>
      </w:pPr>
      <w:r w:rsidRPr="0085380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</w:t>
      </w:r>
    </w:p>
    <w:p w:rsidR="0085380C" w:rsidRDefault="0085380C" w:rsidP="0085380C">
      <w:pPr>
        <w:ind w:left="4248" w:firstLine="0"/>
        <w:rPr>
          <w:rFonts w:ascii="Times New Roman" w:hAnsi="Times New Roman"/>
          <w:sz w:val="28"/>
          <w:szCs w:val="28"/>
          <w:lang w:val="uk-UA"/>
        </w:rPr>
      </w:pPr>
      <w:r w:rsidRPr="0085380C">
        <w:rPr>
          <w:rFonts w:ascii="Times New Roman" w:hAnsi="Times New Roman"/>
          <w:sz w:val="28"/>
          <w:szCs w:val="28"/>
          <w:lang w:val="uk-UA"/>
        </w:rPr>
        <w:t xml:space="preserve"> 1</w:t>
      </w:r>
    </w:p>
    <w:p w:rsidR="005B7001" w:rsidRDefault="005B7001" w:rsidP="0085380C">
      <w:pPr>
        <w:ind w:left="4248" w:firstLine="0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001" w:rsidRDefault="005B7001" w:rsidP="005B7001">
      <w:pPr>
        <w:ind w:left="4248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Додаток підготував Староста села Стара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Рафалівка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Бабка</w:t>
      </w:r>
    </w:p>
    <w:p w:rsidR="005B7001" w:rsidRPr="0085380C" w:rsidRDefault="005B7001" w:rsidP="005B7001">
      <w:pPr>
        <w:ind w:left="4248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5B7001" w:rsidRPr="0085380C" w:rsidSect="0085380C">
      <w:pgSz w:w="11906" w:h="16838"/>
      <w:pgMar w:top="850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1186"/>
    <w:rsid w:val="000107E8"/>
    <w:rsid w:val="00024DFB"/>
    <w:rsid w:val="00043499"/>
    <w:rsid w:val="00073CC3"/>
    <w:rsid w:val="000A045B"/>
    <w:rsid w:val="000B1453"/>
    <w:rsid w:val="000B3455"/>
    <w:rsid w:val="000C0563"/>
    <w:rsid w:val="000E2DB4"/>
    <w:rsid w:val="000F0911"/>
    <w:rsid w:val="00105D0E"/>
    <w:rsid w:val="001406D6"/>
    <w:rsid w:val="00144FB8"/>
    <w:rsid w:val="001462F7"/>
    <w:rsid w:val="00150A57"/>
    <w:rsid w:val="001552D3"/>
    <w:rsid w:val="00181F18"/>
    <w:rsid w:val="001A1A20"/>
    <w:rsid w:val="001B7DB2"/>
    <w:rsid w:val="002153F5"/>
    <w:rsid w:val="00216170"/>
    <w:rsid w:val="00226F1A"/>
    <w:rsid w:val="00235A25"/>
    <w:rsid w:val="00240BF2"/>
    <w:rsid w:val="00251C24"/>
    <w:rsid w:val="002526BB"/>
    <w:rsid w:val="002661CB"/>
    <w:rsid w:val="002700F8"/>
    <w:rsid w:val="0028546E"/>
    <w:rsid w:val="002B547E"/>
    <w:rsid w:val="002B6D9B"/>
    <w:rsid w:val="002D01BF"/>
    <w:rsid w:val="002E316E"/>
    <w:rsid w:val="002F0BBD"/>
    <w:rsid w:val="00302C2F"/>
    <w:rsid w:val="00303DDA"/>
    <w:rsid w:val="00306E67"/>
    <w:rsid w:val="00315E53"/>
    <w:rsid w:val="00351F75"/>
    <w:rsid w:val="00352322"/>
    <w:rsid w:val="00354272"/>
    <w:rsid w:val="003665D3"/>
    <w:rsid w:val="0037319B"/>
    <w:rsid w:val="00380DBB"/>
    <w:rsid w:val="003A6847"/>
    <w:rsid w:val="003B02C5"/>
    <w:rsid w:val="003C0C3F"/>
    <w:rsid w:val="003D4377"/>
    <w:rsid w:val="003E5234"/>
    <w:rsid w:val="00416767"/>
    <w:rsid w:val="00440A26"/>
    <w:rsid w:val="00440AB2"/>
    <w:rsid w:val="004515BC"/>
    <w:rsid w:val="00471251"/>
    <w:rsid w:val="00475582"/>
    <w:rsid w:val="00475D86"/>
    <w:rsid w:val="00476E9A"/>
    <w:rsid w:val="00485031"/>
    <w:rsid w:val="00496A2B"/>
    <w:rsid w:val="004E3990"/>
    <w:rsid w:val="004E5F9D"/>
    <w:rsid w:val="004F5412"/>
    <w:rsid w:val="004F5ACE"/>
    <w:rsid w:val="00501D95"/>
    <w:rsid w:val="00515BD2"/>
    <w:rsid w:val="00537089"/>
    <w:rsid w:val="00551505"/>
    <w:rsid w:val="005519A9"/>
    <w:rsid w:val="00560A02"/>
    <w:rsid w:val="005A4F6C"/>
    <w:rsid w:val="005B3644"/>
    <w:rsid w:val="005B7001"/>
    <w:rsid w:val="005F1186"/>
    <w:rsid w:val="005F7B29"/>
    <w:rsid w:val="00613FC4"/>
    <w:rsid w:val="00641ED7"/>
    <w:rsid w:val="00646417"/>
    <w:rsid w:val="00651879"/>
    <w:rsid w:val="00655218"/>
    <w:rsid w:val="006577F6"/>
    <w:rsid w:val="00663135"/>
    <w:rsid w:val="0066346B"/>
    <w:rsid w:val="00695131"/>
    <w:rsid w:val="006B3895"/>
    <w:rsid w:val="006D232A"/>
    <w:rsid w:val="00726121"/>
    <w:rsid w:val="0076380C"/>
    <w:rsid w:val="00764431"/>
    <w:rsid w:val="0077587A"/>
    <w:rsid w:val="00775A34"/>
    <w:rsid w:val="007E5665"/>
    <w:rsid w:val="007F0EAB"/>
    <w:rsid w:val="007F3C14"/>
    <w:rsid w:val="007F4884"/>
    <w:rsid w:val="007F749A"/>
    <w:rsid w:val="0080140E"/>
    <w:rsid w:val="00843CDD"/>
    <w:rsid w:val="00851041"/>
    <w:rsid w:val="00853080"/>
    <w:rsid w:val="0085380C"/>
    <w:rsid w:val="00860925"/>
    <w:rsid w:val="00862DD2"/>
    <w:rsid w:val="00863175"/>
    <w:rsid w:val="00871E31"/>
    <w:rsid w:val="008754CD"/>
    <w:rsid w:val="0089046B"/>
    <w:rsid w:val="008B6023"/>
    <w:rsid w:val="008C516B"/>
    <w:rsid w:val="008C7436"/>
    <w:rsid w:val="008D7B11"/>
    <w:rsid w:val="00917594"/>
    <w:rsid w:val="0092076C"/>
    <w:rsid w:val="009233CA"/>
    <w:rsid w:val="00932167"/>
    <w:rsid w:val="00936371"/>
    <w:rsid w:val="00941037"/>
    <w:rsid w:val="00946787"/>
    <w:rsid w:val="0096127A"/>
    <w:rsid w:val="00962A0C"/>
    <w:rsid w:val="00992416"/>
    <w:rsid w:val="009A201E"/>
    <w:rsid w:val="009D1BFB"/>
    <w:rsid w:val="009D673B"/>
    <w:rsid w:val="00A13D41"/>
    <w:rsid w:val="00A20D12"/>
    <w:rsid w:val="00A2188D"/>
    <w:rsid w:val="00A2698B"/>
    <w:rsid w:val="00A3459D"/>
    <w:rsid w:val="00A34CB0"/>
    <w:rsid w:val="00A43491"/>
    <w:rsid w:val="00A50639"/>
    <w:rsid w:val="00A755F8"/>
    <w:rsid w:val="00A86D5A"/>
    <w:rsid w:val="00AA2BF8"/>
    <w:rsid w:val="00AA2E56"/>
    <w:rsid w:val="00AB79DF"/>
    <w:rsid w:val="00AC31E0"/>
    <w:rsid w:val="00AD0CB1"/>
    <w:rsid w:val="00AF130A"/>
    <w:rsid w:val="00B22DFF"/>
    <w:rsid w:val="00B26060"/>
    <w:rsid w:val="00B45E64"/>
    <w:rsid w:val="00B629E8"/>
    <w:rsid w:val="00B72CF9"/>
    <w:rsid w:val="00B82E3B"/>
    <w:rsid w:val="00B918B7"/>
    <w:rsid w:val="00BA374A"/>
    <w:rsid w:val="00BA4B1F"/>
    <w:rsid w:val="00BA536F"/>
    <w:rsid w:val="00BA742A"/>
    <w:rsid w:val="00BF0FB7"/>
    <w:rsid w:val="00BF1010"/>
    <w:rsid w:val="00BF6A78"/>
    <w:rsid w:val="00C058E3"/>
    <w:rsid w:val="00C36CE9"/>
    <w:rsid w:val="00C73C31"/>
    <w:rsid w:val="00C745F3"/>
    <w:rsid w:val="00C84281"/>
    <w:rsid w:val="00C91CD1"/>
    <w:rsid w:val="00CB4996"/>
    <w:rsid w:val="00CC697B"/>
    <w:rsid w:val="00CE762B"/>
    <w:rsid w:val="00D45E16"/>
    <w:rsid w:val="00D52A85"/>
    <w:rsid w:val="00D67D37"/>
    <w:rsid w:val="00D82601"/>
    <w:rsid w:val="00D8393A"/>
    <w:rsid w:val="00DB7816"/>
    <w:rsid w:val="00DC4FB1"/>
    <w:rsid w:val="00DC7224"/>
    <w:rsid w:val="00DE1B7E"/>
    <w:rsid w:val="00DE1CC0"/>
    <w:rsid w:val="00DE60B9"/>
    <w:rsid w:val="00E12AB5"/>
    <w:rsid w:val="00E2467B"/>
    <w:rsid w:val="00E41645"/>
    <w:rsid w:val="00EB2348"/>
    <w:rsid w:val="00EB6DFF"/>
    <w:rsid w:val="00EC5F3C"/>
    <w:rsid w:val="00ED0A91"/>
    <w:rsid w:val="00ED1A96"/>
    <w:rsid w:val="00ED713B"/>
    <w:rsid w:val="00EE2BAF"/>
    <w:rsid w:val="00EE41DC"/>
    <w:rsid w:val="00EF3B36"/>
    <w:rsid w:val="00F1512A"/>
    <w:rsid w:val="00F21B65"/>
    <w:rsid w:val="00F22146"/>
    <w:rsid w:val="00F3470D"/>
    <w:rsid w:val="00F51132"/>
    <w:rsid w:val="00F531AE"/>
    <w:rsid w:val="00F61822"/>
    <w:rsid w:val="00F7550D"/>
    <w:rsid w:val="00F81929"/>
    <w:rsid w:val="00F8308D"/>
    <w:rsid w:val="00F85B14"/>
    <w:rsid w:val="00FA69E6"/>
    <w:rsid w:val="00FC6F26"/>
    <w:rsid w:val="00FD15E0"/>
    <w:rsid w:val="00FF4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186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1186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F11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118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1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115D3-06B1-4227-A994-3072A4B30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2547</Words>
  <Characters>1453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ФОС</dc:creator>
  <cp:lastModifiedBy>Userr</cp:lastModifiedBy>
  <cp:revision>4</cp:revision>
  <cp:lastPrinted>2021-02-05T08:02:00Z</cp:lastPrinted>
  <dcterms:created xsi:type="dcterms:W3CDTF">2021-02-05T13:16:00Z</dcterms:created>
  <dcterms:modified xsi:type="dcterms:W3CDTF">2021-02-08T12:51:00Z</dcterms:modified>
</cp:coreProperties>
</file>