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CA" w:rsidRPr="001B3169" w:rsidRDefault="00092BE0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92BE0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45pt;height:50.5pt;visibility:visible" filled="t">
            <v:imagedata r:id="rId7" o:title=""/>
          </v:shape>
        </w:pict>
      </w:r>
    </w:p>
    <w:p w:rsidR="00120BCA" w:rsidRPr="001B3169" w:rsidRDefault="00120BCA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1B3169">
        <w:rPr>
          <w:rFonts w:ascii="Times New Roman" w:hAnsi="Times New Roman"/>
          <w:b/>
          <w:sz w:val="28"/>
          <w:szCs w:val="28"/>
        </w:rPr>
        <w:t>УКРАЇНА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proofErr w:type="spellStart"/>
      <w:r w:rsidRPr="00345935">
        <w:rPr>
          <w:rFonts w:ascii="Times New Roman" w:hAnsi="Times New Roman"/>
        </w:rPr>
        <w:t>Проєкт</w:t>
      </w:r>
      <w:proofErr w:type="spellEnd"/>
      <w:r w:rsidRPr="00345935">
        <w:rPr>
          <w:rFonts w:ascii="Times New Roman" w:hAnsi="Times New Roman"/>
        </w:rPr>
        <w:t xml:space="preserve"> підготував</w:t>
      </w:r>
    </w:p>
    <w:p w:rsidR="00120BCA" w:rsidRPr="001B3169" w:rsidRDefault="00120BCA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1B3169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345935">
        <w:rPr>
          <w:rFonts w:ascii="Times New Roman" w:hAnsi="Times New Roman"/>
        </w:rPr>
        <w:t>О.</w:t>
      </w:r>
      <w:r>
        <w:rPr>
          <w:rFonts w:ascii="Times New Roman" w:hAnsi="Times New Roman"/>
        </w:rPr>
        <w:t xml:space="preserve"> </w:t>
      </w:r>
      <w:r w:rsidRPr="00345935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УДНІК</w:t>
      </w:r>
    </w:p>
    <w:p w:rsidR="00120BCA" w:rsidRPr="001B3169" w:rsidRDefault="00120BCA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B3169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120BCA" w:rsidRDefault="00120BCA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B3169"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120BCA" w:rsidRPr="001B3169" w:rsidRDefault="00120BCA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(Чергова сесія)</w:t>
      </w:r>
    </w:p>
    <w:p w:rsidR="00120BCA" w:rsidRPr="001B3169" w:rsidRDefault="00120BCA" w:rsidP="00C2192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B3169">
        <w:rPr>
          <w:rFonts w:ascii="Times New Roman" w:hAnsi="Times New Roman"/>
          <w:b/>
          <w:sz w:val="28"/>
          <w:szCs w:val="28"/>
        </w:rPr>
        <w:t>ПРОЄКТ РІШЕННЯ</w:t>
      </w:r>
    </w:p>
    <w:p w:rsidR="00120BCA" w:rsidRPr="00C0486E" w:rsidRDefault="00120BCA" w:rsidP="00C0486E">
      <w:pPr>
        <w:spacing w:after="0" w:line="240" w:lineRule="auto"/>
        <w:ind w:firstLine="360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4"/>
        <w:gridCol w:w="2983"/>
        <w:gridCol w:w="3301"/>
      </w:tblGrid>
      <w:tr w:rsidR="00022BBE" w:rsidRPr="005D01AF" w:rsidTr="001744C2">
        <w:tc>
          <w:tcPr>
            <w:tcW w:w="5550" w:type="dxa"/>
            <w:vAlign w:val="center"/>
          </w:tcPr>
          <w:p w:rsidR="00120BCA" w:rsidRPr="00022BBE" w:rsidRDefault="00022BBE" w:rsidP="00022B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09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лютого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2021 року</w:t>
            </w:r>
          </w:p>
        </w:tc>
        <w:tc>
          <w:tcPr>
            <w:tcW w:w="5550" w:type="dxa"/>
            <w:vAlign w:val="center"/>
          </w:tcPr>
          <w:p w:rsidR="00120BCA" w:rsidRPr="00CD3076" w:rsidRDefault="00120BCA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vAlign w:val="center"/>
          </w:tcPr>
          <w:p w:rsidR="00120BCA" w:rsidRPr="00022BBE" w:rsidRDefault="00120BCA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CD30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022BBE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135</w:t>
            </w:r>
          </w:p>
        </w:tc>
      </w:tr>
    </w:tbl>
    <w:p w:rsidR="00120BCA" w:rsidRPr="00CD3076" w:rsidRDefault="00120BCA" w:rsidP="00CD307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18"/>
        <w:gridCol w:w="915"/>
        <w:gridCol w:w="4235"/>
      </w:tblGrid>
      <w:tr w:rsidR="00120BCA" w:rsidRPr="005D01AF" w:rsidTr="001744C2">
        <w:tc>
          <w:tcPr>
            <w:tcW w:w="4965" w:type="dxa"/>
            <w:shd w:val="clear" w:color="auto" w:fill="FFFFFF"/>
            <w:vAlign w:val="center"/>
          </w:tcPr>
          <w:p w:rsidR="00120BCA" w:rsidRPr="00CD3076" w:rsidRDefault="00120BCA" w:rsidP="00E775C9">
            <w:pPr>
              <w:widowControl w:val="0"/>
              <w:spacing w:before="225" w:after="225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передачу комунального майна на праві господарського відання </w:t>
            </w:r>
            <w:proofErr w:type="spellStart"/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КП</w:t>
            </w:r>
            <w:proofErr w:type="spellEnd"/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«Благоустрій» ВМР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120BCA" w:rsidRPr="00CD3076" w:rsidRDefault="00120BCA" w:rsidP="00CD3076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120BCA" w:rsidRPr="00CD3076" w:rsidRDefault="00120BCA" w:rsidP="00CD3076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0BCA" w:rsidRPr="00CD3076" w:rsidRDefault="00120BCA" w:rsidP="00CD3076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від 15.12.2020 року №45 «Про початок реорганізації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Більськовільської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шляхом приєднання до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ради», відповідно до Закону України «Про передачу об’єктів права державної та комунальної власності», ст.ст. 328, 329 Цивільного Кодексу України, керуючись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ст..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59, 60 Закону України «Про місцеве самоврядування в Україні»,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Вараська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</w:t>
      </w:r>
    </w:p>
    <w:p w:rsidR="00120BCA" w:rsidRPr="00CD3076" w:rsidRDefault="00120BCA" w:rsidP="00CD3076">
      <w:pPr>
        <w:widowControl w:val="0"/>
        <w:shd w:val="clear" w:color="auto" w:fill="FFFFFF"/>
        <w:spacing w:before="150" w:after="15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120BCA" w:rsidRPr="00CD3076" w:rsidRDefault="00120BCA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1. Передати з балансу виконавчого комітету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на баланс комунального підприємства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на праві господарського відання згідно з додатком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20BCA" w:rsidRPr="00CD3076" w:rsidRDefault="00120BCA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Виконавчому комітету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передати з свого балансу вищезазначене комунальне майно на баланс комунального підприємства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у відповідності до вимог чинного законодавства.</w:t>
      </w:r>
    </w:p>
    <w:p w:rsidR="00120BCA" w:rsidRPr="00CD3076" w:rsidRDefault="00120BCA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Комунальному підприємству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120BCA" w:rsidRPr="00CD3076" w:rsidRDefault="00120BCA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4. Контроль за виконанням рішення залишаю за постійною депутатською комісією з питань комунального майна, житлової політики, інфраструктури та енергозбереження.</w:t>
      </w:r>
    </w:p>
    <w:p w:rsidR="00120BCA" w:rsidRPr="00CD3076" w:rsidRDefault="00120BCA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0BCA" w:rsidRPr="00CD3076" w:rsidRDefault="00120BCA" w:rsidP="007D22FF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120BCA" w:rsidRPr="00CD3076" w:rsidRDefault="00120BCA" w:rsidP="00CD30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20BCA" w:rsidRPr="00CD3076" w:rsidRDefault="00120BCA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D3076">
        <w:rPr>
          <w:rFonts w:ascii="Times New Roman" w:hAnsi="Times New Roman"/>
          <w:sz w:val="24"/>
          <w:szCs w:val="24"/>
          <w:lang w:val="ru-RU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120BCA" w:rsidRPr="00CD3076" w:rsidRDefault="00120BCA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CD3076">
        <w:rPr>
          <w:rFonts w:ascii="Times New Roman" w:hAnsi="Times New Roman"/>
          <w:sz w:val="24"/>
          <w:szCs w:val="24"/>
        </w:rPr>
        <w:t>до рішення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Вараської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D3076">
        <w:rPr>
          <w:rFonts w:ascii="Times New Roman" w:hAnsi="Times New Roman"/>
          <w:sz w:val="24"/>
          <w:szCs w:val="24"/>
        </w:rPr>
        <w:t xml:space="preserve"> міської ради</w:t>
      </w:r>
    </w:p>
    <w:p w:rsidR="00120BCA" w:rsidRDefault="00120BCA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CD3076">
        <w:rPr>
          <w:rFonts w:ascii="Times New Roman" w:hAnsi="Times New Roman"/>
          <w:sz w:val="24"/>
          <w:szCs w:val="24"/>
        </w:rPr>
        <w:t>____________ 2021</w:t>
      </w:r>
      <w:r>
        <w:rPr>
          <w:rFonts w:ascii="Times New Roman" w:hAnsi="Times New Roman"/>
          <w:sz w:val="24"/>
          <w:szCs w:val="24"/>
        </w:rPr>
        <w:t xml:space="preserve"> року </w:t>
      </w:r>
      <w:r w:rsidRPr="00CD3076">
        <w:rPr>
          <w:rFonts w:ascii="Times New Roman" w:hAnsi="Times New Roman"/>
          <w:sz w:val="24"/>
          <w:szCs w:val="24"/>
        </w:rPr>
        <w:t xml:space="preserve"> №__</w:t>
      </w:r>
    </w:p>
    <w:p w:rsidR="00120BCA" w:rsidRDefault="00120BCA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120BCA" w:rsidRPr="00CD3076" w:rsidRDefault="00120BCA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120BCA" w:rsidRPr="00CD3076" w:rsidRDefault="00120BCA" w:rsidP="00CD307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D3076">
        <w:rPr>
          <w:rFonts w:ascii="Times New Roman" w:hAnsi="Times New Roman"/>
          <w:b/>
          <w:sz w:val="28"/>
          <w:szCs w:val="28"/>
        </w:rPr>
        <w:t xml:space="preserve">Перелік майна виконавчого комітету </w:t>
      </w:r>
      <w:proofErr w:type="spellStart"/>
      <w:r w:rsidRPr="00CD3076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CD3076">
        <w:rPr>
          <w:rFonts w:ascii="Times New Roman" w:hAnsi="Times New Roman"/>
          <w:b/>
          <w:sz w:val="28"/>
          <w:szCs w:val="28"/>
        </w:rPr>
        <w:t xml:space="preserve"> міської ради, </w:t>
      </w:r>
    </w:p>
    <w:p w:rsidR="00120BCA" w:rsidRPr="00CD3076" w:rsidRDefault="00120BCA" w:rsidP="00CD307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D3076">
        <w:rPr>
          <w:rFonts w:ascii="Times New Roman" w:hAnsi="Times New Roman"/>
          <w:b/>
          <w:sz w:val="28"/>
          <w:szCs w:val="28"/>
        </w:rPr>
        <w:t xml:space="preserve">що передається на баланс комунальному підприємству «Благоустрій» </w:t>
      </w:r>
    </w:p>
    <w:p w:rsidR="00120BCA" w:rsidRDefault="00120BCA" w:rsidP="00D62D4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3076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CD3076">
        <w:rPr>
          <w:rFonts w:ascii="Times New Roman" w:hAnsi="Times New Roman"/>
          <w:b/>
          <w:sz w:val="28"/>
          <w:szCs w:val="28"/>
        </w:rPr>
        <w:t xml:space="preserve"> міської ради</w:t>
      </w:r>
    </w:p>
    <w:p w:rsidR="00120BCA" w:rsidRPr="00C35387" w:rsidRDefault="00120BCA" w:rsidP="00D62D4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Look w:val="00A0"/>
      </w:tblPr>
      <w:tblGrid>
        <w:gridCol w:w="456"/>
        <w:gridCol w:w="2374"/>
        <w:gridCol w:w="1134"/>
        <w:gridCol w:w="851"/>
        <w:gridCol w:w="994"/>
        <w:gridCol w:w="1135"/>
        <w:gridCol w:w="1415"/>
        <w:gridCol w:w="1134"/>
      </w:tblGrid>
      <w:tr w:rsidR="00120BCA" w:rsidRPr="005D01AF" w:rsidTr="00673680"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120BCA" w:rsidRPr="005D01AF" w:rsidTr="00673680">
        <w:trPr>
          <w:trHeight w:val="12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120BCA" w:rsidRPr="005D01AF" w:rsidTr="00673680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673680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Котельня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Залядинська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асфальтобетонна)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562000,00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562000,00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Рафалівська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Поліська)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Будищівська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Церковна)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Шкільна)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Паркова)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Вільхова)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Лікарняна)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Рогова)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Засадкова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Колгоспна)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Задоріжкова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Підрадьківська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Бегми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Обшарна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Зарубанська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(вул. Підлісна)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Залядинська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с. Рудка (вул. Шкільна)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с. Рудка (вул. Нова)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с. Рудка (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вул.Меліоративна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12712,00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с. Березина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Кучинська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Дорога с. Березина (вул.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Козичинська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Дорога с. Березина (вул. Шкільна)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Водонапірна башта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6650,00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Обеліск с.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Більська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Воля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Обеліск с. Рудка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10310021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616812,00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616812,00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rPr>
          <w:trHeight w:val="315"/>
        </w:trPr>
        <w:tc>
          <w:tcPr>
            <w:tcW w:w="456" w:type="dxa"/>
            <w:tcBorders>
              <w:top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noWrap/>
            <w:vAlign w:val="bottom"/>
          </w:tcPr>
          <w:p w:rsidR="00120BCA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20BCA" w:rsidRPr="005D01AF" w:rsidTr="00673680">
        <w:trPr>
          <w:gridBefore w:val="1"/>
          <w:wBefore w:w="456" w:type="dxa"/>
          <w:trHeight w:val="315"/>
        </w:trPr>
        <w:tc>
          <w:tcPr>
            <w:tcW w:w="2374" w:type="dxa"/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left w:val="nil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84" w:type="dxa"/>
            <w:gridSpan w:val="3"/>
            <w:vAlign w:val="center"/>
          </w:tcPr>
          <w:p w:rsidR="00120BCA" w:rsidRPr="005D01AF" w:rsidRDefault="00120BCA" w:rsidP="00673680">
            <w:pPr>
              <w:spacing w:after="0"/>
              <w:rPr>
                <w:rFonts w:ascii="Times New Roman" w:hAnsi="Times New Roman"/>
              </w:rPr>
            </w:pPr>
            <w:r w:rsidRPr="005D01AF">
              <w:rPr>
                <w:rFonts w:ascii="Times New Roman" w:hAnsi="Times New Roman"/>
              </w:rPr>
              <w:t xml:space="preserve">                   Продовження додатку 1                                                                                          до рішення </w:t>
            </w:r>
            <w:proofErr w:type="spellStart"/>
            <w:r w:rsidRPr="005D01AF">
              <w:rPr>
                <w:rFonts w:ascii="Times New Roman" w:hAnsi="Times New Roman"/>
              </w:rPr>
              <w:t>Вараської</w:t>
            </w:r>
            <w:proofErr w:type="spellEnd"/>
            <w:r w:rsidRPr="005D01AF">
              <w:rPr>
                <w:rFonts w:ascii="Times New Roman" w:hAnsi="Times New Roman"/>
              </w:rPr>
              <w:t xml:space="preserve"> міської ради </w:t>
            </w:r>
          </w:p>
          <w:p w:rsidR="00120BCA" w:rsidRPr="005D01AF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1AF">
              <w:rPr>
                <w:rFonts w:ascii="Times New Roman" w:hAnsi="Times New Roman"/>
              </w:rPr>
              <w:t>________________2021 року №___</w:t>
            </w:r>
          </w:p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20BCA" w:rsidRPr="005D01AF" w:rsidTr="00673680"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120BCA" w:rsidRPr="005D01AF" w:rsidTr="00673680">
        <w:trPr>
          <w:trHeight w:val="12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120BCA" w:rsidRPr="005D01AF" w:rsidTr="00673680">
        <w:trPr>
          <w:trHeight w:val="1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673680">
        <w:trPr>
          <w:trHeight w:val="4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Електролічильник зонний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10480035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350,00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1750,00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350,00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120BCA" w:rsidRPr="005D01AF" w:rsidTr="00673680">
        <w:trPr>
          <w:trHeight w:val="12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Пожежний автомобіль АЦ-40-130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10580003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25000,00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25000,00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0,00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20BCA" w:rsidRPr="005D01AF" w:rsidTr="00673680">
        <w:trPr>
          <w:trHeight w:val="59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120BCA" w:rsidRPr="005D01AF" w:rsidTr="00673680">
        <w:trPr>
          <w:trHeight w:val="127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Вуличне освітлення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10640002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84864,00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47591,00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37273,00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Вуличне освітлення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с.Рудка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10640003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0,60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15763,00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7331,00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8432,00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BCA" w:rsidRPr="00281042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81042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100627,00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54922,00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281042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45705,00</w:t>
            </w:r>
          </w:p>
        </w:tc>
      </w:tr>
      <w:tr w:rsidR="00120BCA" w:rsidRPr="005D01AF" w:rsidTr="00673680">
        <w:trPr>
          <w:trHeight w:val="404"/>
        </w:trPr>
        <w:tc>
          <w:tcPr>
            <w:tcW w:w="456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</w:tr>
      <w:tr w:rsidR="00120BCA" w:rsidRPr="005D01AF" w:rsidTr="00673680">
        <w:trPr>
          <w:trHeight w:val="49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120BCA" w:rsidRPr="005D01AF" w:rsidTr="00673680">
        <w:trPr>
          <w:trHeight w:val="11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120BCA" w:rsidRPr="005D01AF" w:rsidTr="00673680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673680">
        <w:trPr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Мобільний 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235,00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117,50</w:t>
            </w:r>
          </w:p>
        </w:tc>
      </w:tr>
    </w:tbl>
    <w:p w:rsidR="00120BCA" w:rsidRPr="00C623C8" w:rsidRDefault="00120BCA" w:rsidP="0067368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</w:t>
      </w:r>
      <w:r w:rsidRPr="00C623C8">
        <w:rPr>
          <w:rFonts w:ascii="Times New Roman" w:hAnsi="Times New Roman"/>
        </w:rPr>
        <w:t xml:space="preserve">Продовження додатку </w:t>
      </w:r>
      <w:r>
        <w:rPr>
          <w:rFonts w:ascii="Times New Roman" w:hAnsi="Times New Roman"/>
        </w:rPr>
        <w:t xml:space="preserve">1                                                                                          </w:t>
      </w:r>
      <w:r w:rsidRPr="00C623C8">
        <w:rPr>
          <w:rFonts w:ascii="Times New Roman" w:hAnsi="Times New Roman"/>
        </w:rPr>
        <w:t xml:space="preserve">до рішення </w:t>
      </w:r>
      <w:proofErr w:type="spellStart"/>
      <w:r w:rsidRPr="00C623C8">
        <w:rPr>
          <w:rFonts w:ascii="Times New Roman" w:hAnsi="Times New Roman"/>
        </w:rPr>
        <w:t>Вараської</w:t>
      </w:r>
      <w:proofErr w:type="spellEnd"/>
      <w:r>
        <w:rPr>
          <w:rFonts w:ascii="Times New Roman" w:hAnsi="Times New Roman"/>
        </w:rPr>
        <w:t xml:space="preserve"> </w:t>
      </w:r>
      <w:r w:rsidRPr="00C623C8">
        <w:rPr>
          <w:rFonts w:ascii="Times New Roman" w:hAnsi="Times New Roman"/>
        </w:rPr>
        <w:t xml:space="preserve">міської ради </w:t>
      </w:r>
    </w:p>
    <w:p w:rsidR="00120BCA" w:rsidRDefault="00120BCA" w:rsidP="00673680">
      <w:pPr>
        <w:framePr w:hSpace="180" w:wrap="around" w:vAnchor="text" w:hAnchor="text" w:y="1"/>
        <w:spacing w:after="0" w:line="240" w:lineRule="auto"/>
        <w:suppressOverlap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_______________20</w:t>
      </w:r>
      <w:r w:rsidRPr="00C623C8">
        <w:rPr>
          <w:rFonts w:ascii="Times New Roman" w:hAnsi="Times New Roman"/>
        </w:rPr>
        <w:t>21 року №___</w:t>
      </w:r>
    </w:p>
    <w:p w:rsidR="00120BCA" w:rsidRDefault="00120BCA" w:rsidP="00673680">
      <w:pPr>
        <w:jc w:val="right"/>
      </w:pPr>
    </w:p>
    <w:tbl>
      <w:tblPr>
        <w:tblpPr w:leftFromText="180" w:rightFromText="180" w:vertAnchor="text" w:tblpY="1"/>
        <w:tblOverlap w:val="never"/>
        <w:tblW w:w="9793" w:type="dxa"/>
        <w:tblLayout w:type="fixed"/>
        <w:tblLook w:val="00A0"/>
      </w:tblPr>
      <w:tblGrid>
        <w:gridCol w:w="456"/>
        <w:gridCol w:w="108"/>
        <w:gridCol w:w="2266"/>
        <w:gridCol w:w="1134"/>
        <w:gridCol w:w="290"/>
        <w:gridCol w:w="561"/>
        <w:gridCol w:w="994"/>
        <w:gridCol w:w="1135"/>
        <w:gridCol w:w="706"/>
        <w:gridCol w:w="709"/>
        <w:gridCol w:w="712"/>
        <w:gridCol w:w="422"/>
        <w:gridCol w:w="300"/>
      </w:tblGrid>
      <w:tr w:rsidR="00120BCA" w:rsidRPr="005D01AF" w:rsidTr="00673680">
        <w:trPr>
          <w:gridAfter w:val="1"/>
          <w:wAfter w:w="300" w:type="dxa"/>
          <w:trHeight w:val="5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Ножиці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діалектричні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</w:t>
            </w:r>
            <w:bookmarkStart w:id="0" w:name="_GoBack"/>
            <w:bookmarkEnd w:id="0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310,00</w:t>
            </w:r>
          </w:p>
        </w:tc>
      </w:tr>
      <w:tr w:rsidR="00120BCA" w:rsidRPr="005D01AF" w:rsidTr="00784BC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Пояс рятувальника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135,00</w:t>
            </w:r>
          </w:p>
        </w:tc>
      </w:tr>
      <w:tr w:rsidR="00120BCA" w:rsidRPr="005D01AF" w:rsidTr="00784BC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Пожежний рукав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11130021/1-3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1188,00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594,00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594,00</w:t>
            </w:r>
          </w:p>
        </w:tc>
      </w:tr>
      <w:tr w:rsidR="00120BCA" w:rsidRPr="005D01AF" w:rsidTr="00784BC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Драбина алюмінієва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5400,00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2700,00</w:t>
            </w:r>
          </w:p>
        </w:tc>
      </w:tr>
      <w:tr w:rsidR="00120BCA" w:rsidRPr="005D01AF" w:rsidTr="00575319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Перчаткидіалектричні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44,00</w:t>
            </w:r>
          </w:p>
        </w:tc>
      </w:tr>
      <w:tr w:rsidR="00120BCA" w:rsidRPr="005D01AF" w:rsidTr="00575319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Драбина односекційна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65,00</w:t>
            </w:r>
          </w:p>
        </w:tc>
      </w:tr>
      <w:tr w:rsidR="00120BCA" w:rsidRPr="005D01AF" w:rsidTr="008D0F8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Ліжко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60,00</w:t>
            </w:r>
          </w:p>
        </w:tc>
      </w:tr>
      <w:tr w:rsidR="00120BCA" w:rsidRPr="005D01AF" w:rsidTr="008D0F8C">
        <w:trPr>
          <w:gridAfter w:val="1"/>
          <w:wAfter w:w="300" w:type="dxa"/>
          <w:trHeight w:val="2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Телевізор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11130026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175,00</w:t>
            </w:r>
          </w:p>
        </w:tc>
      </w:tr>
      <w:tr w:rsidR="00120BCA" w:rsidRPr="005D01AF" w:rsidTr="008D0F8C">
        <w:trPr>
          <w:gridAfter w:val="1"/>
          <w:wAfter w:w="300" w:type="dxa"/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11,0</w:t>
            </w: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8401,00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4200,50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4200,50</w:t>
            </w:r>
          </w:p>
        </w:tc>
      </w:tr>
      <w:tr w:rsidR="00120BCA" w:rsidRPr="005D01AF" w:rsidTr="008D0F8C">
        <w:trPr>
          <w:gridAfter w:val="1"/>
          <w:wAfter w:w="300" w:type="dxa"/>
          <w:trHeight w:val="315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20BCA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  <w:p w:rsidR="00120BCA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20BCA" w:rsidRPr="005D01AF" w:rsidTr="008D0F8C">
        <w:trPr>
          <w:gridAfter w:val="1"/>
          <w:wAfter w:w="300" w:type="dxa"/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120BCA" w:rsidRPr="005D01AF" w:rsidTr="008D0F8C">
        <w:trPr>
          <w:gridAfter w:val="1"/>
          <w:wAfter w:w="300" w:type="dxa"/>
          <w:trHeight w:val="12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120BCA" w:rsidRPr="005D01AF" w:rsidTr="008D0F8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8D0F8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Каска протипожежна біла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11140001-03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540,00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270,00</w:t>
            </w:r>
          </w:p>
        </w:tc>
      </w:tr>
      <w:tr w:rsidR="00120BCA" w:rsidRPr="005D01AF" w:rsidTr="008D0F8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Каска протипожежна червона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11140004-06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840,00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420,00</w:t>
            </w:r>
          </w:p>
        </w:tc>
      </w:tr>
      <w:tr w:rsidR="00120BCA" w:rsidRPr="005D01AF" w:rsidTr="008D0F8C">
        <w:trPr>
          <w:gridAfter w:val="1"/>
          <w:wAfter w:w="300" w:type="dxa"/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Куртка пожежника (шкірозамінник)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11140007-08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300,00</w:t>
            </w:r>
          </w:p>
        </w:tc>
      </w:tr>
      <w:tr w:rsidR="00120BCA" w:rsidRPr="005D01AF" w:rsidTr="008D0F8C">
        <w:trPr>
          <w:gridAfter w:val="1"/>
          <w:wAfter w:w="300" w:type="dxa"/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Чоботи </w:t>
            </w:r>
            <w:proofErr w:type="spellStart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діалектричні</w:t>
            </w:r>
            <w:proofErr w:type="spellEnd"/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гумові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11140009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пар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190,00</w:t>
            </w:r>
          </w:p>
        </w:tc>
      </w:tr>
      <w:tr w:rsidR="00120BCA" w:rsidRPr="005D01AF" w:rsidTr="008D0F8C">
        <w:trPr>
          <w:gridAfter w:val="1"/>
          <w:wAfter w:w="300" w:type="dxa"/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1A6539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2360,00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1A6539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1180,00</w:t>
            </w:r>
          </w:p>
        </w:tc>
      </w:tr>
      <w:tr w:rsidR="00120BCA" w:rsidRPr="005D01AF" w:rsidTr="008D0F8C">
        <w:trPr>
          <w:gridAfter w:val="1"/>
          <w:wAfter w:w="300" w:type="dxa"/>
          <w:trHeight w:val="31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20BCA" w:rsidRPr="001A6539" w:rsidRDefault="00120BCA" w:rsidP="006736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BCA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120BCA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BCA" w:rsidRPr="001A6539" w:rsidRDefault="00120BCA" w:rsidP="006736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20BCA" w:rsidRPr="005D01AF" w:rsidTr="008D0F8C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 даними бухгалтерського обліку</w:t>
            </w: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120BCA" w:rsidRPr="005D01AF" w:rsidTr="008D0F8C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найменування, вид, сорт, група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сума</w:t>
            </w:r>
          </w:p>
        </w:tc>
      </w:tr>
      <w:tr w:rsidR="00120BCA" w:rsidRPr="005D01AF" w:rsidTr="008D0F8C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417317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4173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8D0F8C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Шифер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26,00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2210,00</w:t>
            </w:r>
          </w:p>
        </w:tc>
      </w:tr>
      <w:tr w:rsidR="00120BCA" w:rsidRPr="005D01AF" w:rsidTr="008D0F8C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85,00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26,00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2210,00</w:t>
            </w:r>
          </w:p>
        </w:tc>
      </w:tr>
    </w:tbl>
    <w:p w:rsidR="00120BCA" w:rsidRDefault="00120BCA"/>
    <w:p w:rsidR="00120BCA" w:rsidRDefault="00120BCA"/>
    <w:p w:rsidR="00120BCA" w:rsidRDefault="00120BCA"/>
    <w:p w:rsidR="00120BCA" w:rsidRDefault="00120BCA"/>
    <w:p w:rsidR="00120BCA" w:rsidRDefault="00120BCA"/>
    <w:p w:rsidR="00120BCA" w:rsidRPr="00C623C8" w:rsidRDefault="00120BCA" w:rsidP="00AF0DA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</w:t>
      </w:r>
      <w:r w:rsidRPr="00C623C8">
        <w:rPr>
          <w:rFonts w:ascii="Times New Roman" w:hAnsi="Times New Roman"/>
        </w:rPr>
        <w:t xml:space="preserve">Продовження додатку </w:t>
      </w:r>
      <w:r>
        <w:rPr>
          <w:rFonts w:ascii="Times New Roman" w:hAnsi="Times New Roman"/>
        </w:rPr>
        <w:t xml:space="preserve">1                                                                                          </w:t>
      </w:r>
      <w:r w:rsidRPr="00C623C8">
        <w:rPr>
          <w:rFonts w:ascii="Times New Roman" w:hAnsi="Times New Roman"/>
        </w:rPr>
        <w:t xml:space="preserve">до рішення </w:t>
      </w:r>
      <w:proofErr w:type="spellStart"/>
      <w:r w:rsidRPr="00C623C8">
        <w:rPr>
          <w:rFonts w:ascii="Times New Roman" w:hAnsi="Times New Roman"/>
        </w:rPr>
        <w:t>Вараської</w:t>
      </w:r>
      <w:proofErr w:type="spellEnd"/>
      <w:r>
        <w:rPr>
          <w:rFonts w:ascii="Times New Roman" w:hAnsi="Times New Roman"/>
        </w:rPr>
        <w:t xml:space="preserve"> </w:t>
      </w:r>
      <w:r w:rsidRPr="00C623C8">
        <w:rPr>
          <w:rFonts w:ascii="Times New Roman" w:hAnsi="Times New Roman"/>
        </w:rPr>
        <w:t xml:space="preserve">міської ради </w:t>
      </w:r>
    </w:p>
    <w:p w:rsidR="00120BCA" w:rsidRDefault="00120BCA" w:rsidP="00AF0DA0">
      <w:pPr>
        <w:framePr w:hSpace="180" w:wrap="around" w:vAnchor="text" w:hAnchor="text" w:y="1"/>
        <w:spacing w:after="0" w:line="240" w:lineRule="auto"/>
        <w:suppressOverlap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_______________20</w:t>
      </w:r>
      <w:r w:rsidRPr="00C623C8">
        <w:rPr>
          <w:rFonts w:ascii="Times New Roman" w:hAnsi="Times New Roman"/>
        </w:rPr>
        <w:t>21 року №___</w:t>
      </w:r>
    </w:p>
    <w:p w:rsidR="00120BCA" w:rsidRDefault="00120BCA"/>
    <w:tbl>
      <w:tblPr>
        <w:tblpPr w:leftFromText="180" w:rightFromText="180" w:vertAnchor="text" w:tblpY="1"/>
        <w:tblOverlap w:val="never"/>
        <w:tblW w:w="9793" w:type="dxa"/>
        <w:tblInd w:w="-10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4"/>
        <w:gridCol w:w="2266"/>
        <w:gridCol w:w="1424"/>
        <w:gridCol w:w="2690"/>
        <w:gridCol w:w="706"/>
        <w:gridCol w:w="709"/>
        <w:gridCol w:w="712"/>
        <w:gridCol w:w="722"/>
      </w:tblGrid>
      <w:tr w:rsidR="00120BCA" w:rsidRPr="005D01AF" w:rsidTr="00AF0DA0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№</w:t>
            </w: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Рахунок, субрахунок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Матеріальні цінності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О</w:t>
            </w: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диниця виміру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 даними бухгалтерського обліку</w:t>
            </w: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120BCA" w:rsidRPr="005D01AF" w:rsidTr="00AF0DA0">
        <w:trPr>
          <w:trHeight w:val="10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найменування, вид, сорт, група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номенклатурний номер (за наявності)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вартість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сума</w:t>
            </w:r>
          </w:p>
        </w:tc>
      </w:tr>
      <w:tr w:rsidR="00120BCA" w:rsidRPr="005D01AF" w:rsidTr="00AF0DA0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120BCA" w:rsidRPr="005D01AF" w:rsidTr="00AF0DA0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Бензин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383,02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21,67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8299,80</w:t>
            </w:r>
          </w:p>
        </w:tc>
      </w:tr>
      <w:tr w:rsidR="00120BCA" w:rsidRPr="005D01AF" w:rsidTr="00AF0DA0">
        <w:trPr>
          <w:trHeight w:val="31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1F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383,02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21,67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0BCA" w:rsidRPr="00571F4B" w:rsidRDefault="00120BCA" w:rsidP="00673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8299,80</w:t>
            </w:r>
          </w:p>
        </w:tc>
      </w:tr>
    </w:tbl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BCA" w:rsidRPr="008D0F8C" w:rsidRDefault="00120BCA" w:rsidP="008D0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F8C">
        <w:rPr>
          <w:rFonts w:ascii="Times New Roman" w:hAnsi="Times New Roman"/>
          <w:sz w:val="28"/>
          <w:szCs w:val="28"/>
        </w:rPr>
        <w:t>Секретар міської ради                                                     Геннадій ДЕРЕВ</w:t>
      </w:r>
      <w:r w:rsidRPr="008D0F8C">
        <w:rPr>
          <w:rFonts w:ascii="Times New Roman" w:hAnsi="Times New Roman"/>
          <w:sz w:val="28"/>
          <w:szCs w:val="28"/>
          <w:lang w:val="ru-RU"/>
        </w:rPr>
        <w:t>’</w:t>
      </w:r>
      <w:r w:rsidRPr="008D0F8C">
        <w:rPr>
          <w:rFonts w:ascii="Times New Roman" w:hAnsi="Times New Roman"/>
          <w:sz w:val="28"/>
          <w:szCs w:val="28"/>
        </w:rPr>
        <w:t>ЯНЧУК</w:t>
      </w: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p w:rsidR="00120BCA" w:rsidRPr="00CD3076" w:rsidRDefault="00120BCA" w:rsidP="00E7483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</w:p>
    <w:sectPr w:rsidR="00120BCA" w:rsidRPr="00CD3076" w:rsidSect="0067368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CA" w:rsidRDefault="00120BCA" w:rsidP="00784BCC">
      <w:pPr>
        <w:spacing w:after="0" w:line="240" w:lineRule="auto"/>
      </w:pPr>
      <w:r>
        <w:separator/>
      </w:r>
    </w:p>
  </w:endnote>
  <w:endnote w:type="continuationSeparator" w:id="1">
    <w:p w:rsidR="00120BCA" w:rsidRDefault="00120BCA" w:rsidP="0078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CA" w:rsidRDefault="00120BCA" w:rsidP="00784BCC">
      <w:pPr>
        <w:spacing w:after="0" w:line="240" w:lineRule="auto"/>
      </w:pPr>
      <w:r>
        <w:separator/>
      </w:r>
    </w:p>
  </w:footnote>
  <w:footnote w:type="continuationSeparator" w:id="1">
    <w:p w:rsidR="00120BCA" w:rsidRDefault="00120BCA" w:rsidP="0078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CA" w:rsidRDefault="00120BCA">
    <w:pPr>
      <w:pStyle w:val="a8"/>
      <w:jc w:val="center"/>
    </w:pPr>
  </w:p>
  <w:p w:rsidR="00120BCA" w:rsidRDefault="00120B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780"/>
    <w:rsid w:val="00022BBE"/>
    <w:rsid w:val="0003723D"/>
    <w:rsid w:val="000850BE"/>
    <w:rsid w:val="00092BE0"/>
    <w:rsid w:val="000A1780"/>
    <w:rsid w:val="000E08DC"/>
    <w:rsid w:val="00111EF4"/>
    <w:rsid w:val="00120BCA"/>
    <w:rsid w:val="0012353B"/>
    <w:rsid w:val="001744C2"/>
    <w:rsid w:val="001A6539"/>
    <w:rsid w:val="001B3169"/>
    <w:rsid w:val="001D3384"/>
    <w:rsid w:val="001E3432"/>
    <w:rsid w:val="00281042"/>
    <w:rsid w:val="0029122D"/>
    <w:rsid w:val="00291AAE"/>
    <w:rsid w:val="00345935"/>
    <w:rsid w:val="003D2106"/>
    <w:rsid w:val="003D4DBE"/>
    <w:rsid w:val="003D5BD0"/>
    <w:rsid w:val="00417317"/>
    <w:rsid w:val="00445211"/>
    <w:rsid w:val="0049607E"/>
    <w:rsid w:val="004B2477"/>
    <w:rsid w:val="004F7030"/>
    <w:rsid w:val="00561FF9"/>
    <w:rsid w:val="00564E63"/>
    <w:rsid w:val="00571F4B"/>
    <w:rsid w:val="00575319"/>
    <w:rsid w:val="005A070A"/>
    <w:rsid w:val="005D01AF"/>
    <w:rsid w:val="00635CBC"/>
    <w:rsid w:val="00673680"/>
    <w:rsid w:val="0068141A"/>
    <w:rsid w:val="00696AB6"/>
    <w:rsid w:val="00700265"/>
    <w:rsid w:val="00751D3F"/>
    <w:rsid w:val="00784BCC"/>
    <w:rsid w:val="007D22FF"/>
    <w:rsid w:val="008144F0"/>
    <w:rsid w:val="00832A75"/>
    <w:rsid w:val="0083581F"/>
    <w:rsid w:val="00865829"/>
    <w:rsid w:val="008A105C"/>
    <w:rsid w:val="008D0F8C"/>
    <w:rsid w:val="0098788D"/>
    <w:rsid w:val="009D6007"/>
    <w:rsid w:val="009E2DB6"/>
    <w:rsid w:val="00A36A43"/>
    <w:rsid w:val="00AB3239"/>
    <w:rsid w:val="00AF0DA0"/>
    <w:rsid w:val="00AF2B45"/>
    <w:rsid w:val="00B83FA1"/>
    <w:rsid w:val="00C0486E"/>
    <w:rsid w:val="00C21926"/>
    <w:rsid w:val="00C31764"/>
    <w:rsid w:val="00C35387"/>
    <w:rsid w:val="00C42C55"/>
    <w:rsid w:val="00C623C8"/>
    <w:rsid w:val="00CD3076"/>
    <w:rsid w:val="00CE5B46"/>
    <w:rsid w:val="00D62D40"/>
    <w:rsid w:val="00D775DC"/>
    <w:rsid w:val="00DB4D12"/>
    <w:rsid w:val="00DD2055"/>
    <w:rsid w:val="00DD2DE3"/>
    <w:rsid w:val="00DE061F"/>
    <w:rsid w:val="00E60D86"/>
    <w:rsid w:val="00E617F7"/>
    <w:rsid w:val="00E74834"/>
    <w:rsid w:val="00E775C9"/>
    <w:rsid w:val="00E93388"/>
    <w:rsid w:val="00F06EE7"/>
    <w:rsid w:val="00F14AF2"/>
    <w:rsid w:val="00FB7FEC"/>
    <w:rsid w:val="00FC4990"/>
    <w:rsid w:val="00FD64EF"/>
    <w:rsid w:val="00FF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8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uiPriority w:val="99"/>
    <w:rsid w:val="00E617F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E617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ий текст (3)_"/>
    <w:basedOn w:val="a0"/>
    <w:link w:val="30"/>
    <w:uiPriority w:val="99"/>
    <w:locked/>
    <w:rsid w:val="001A65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1A6539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1A653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1A653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99"/>
    <w:qFormat/>
    <w:rsid w:val="001A6539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1A6539"/>
    <w:pPr>
      <w:ind w:firstLine="360"/>
    </w:pPr>
    <w:rPr>
      <w:rFonts w:eastAsia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6539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6539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rsid w:val="00784B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84BCC"/>
    <w:rPr>
      <w:rFonts w:cs="Times New Roman"/>
    </w:rPr>
  </w:style>
  <w:style w:type="paragraph" w:styleId="aa">
    <w:name w:val="footer"/>
    <w:basedOn w:val="a"/>
    <w:link w:val="ab"/>
    <w:uiPriority w:val="99"/>
    <w:rsid w:val="00784B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84B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7287</Characters>
  <Application>Microsoft Office Word</Application>
  <DocSecurity>0</DocSecurity>
  <Lines>60</Lines>
  <Paragraphs>16</Paragraphs>
  <ScaleCrop>false</ScaleCrop>
  <Company/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Userr</cp:lastModifiedBy>
  <cp:revision>3</cp:revision>
  <cp:lastPrinted>2021-02-08T08:50:00Z</cp:lastPrinted>
  <dcterms:created xsi:type="dcterms:W3CDTF">2021-02-08T13:35:00Z</dcterms:created>
  <dcterms:modified xsi:type="dcterms:W3CDTF">2021-02-09T12:32:00Z</dcterms:modified>
</cp:coreProperties>
</file>