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6E" w:rsidRDefault="00CB467A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06E" w:rsidRPr="00321767" w:rsidRDefault="00B4606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B4606E" w:rsidRPr="00321767" w:rsidRDefault="00B4606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</w:p>
    <w:p w:rsidR="00B4606E" w:rsidRDefault="00B4606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B4606E" w:rsidRDefault="00B4606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С.Бойко</w:t>
      </w:r>
    </w:p>
    <w:p w:rsidR="00B4606E" w:rsidRPr="00321767" w:rsidRDefault="00B4606E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(Чергова сесія)</w:t>
      </w:r>
    </w:p>
    <w:p w:rsidR="00B4606E" w:rsidRPr="00321767" w:rsidRDefault="00B4606E" w:rsidP="00676EA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ПРОЄКТ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B4606E" w:rsidRDefault="00B4606E" w:rsidP="005F1186">
      <w:pPr>
        <w:rPr>
          <w:lang w:val="uk-UA"/>
        </w:rPr>
      </w:pPr>
    </w:p>
    <w:p w:rsidR="00B4606E" w:rsidRPr="00831C04" w:rsidRDefault="00831C04" w:rsidP="005F1186">
      <w:pPr>
        <w:pStyle w:val="a3"/>
        <w:ind w:left="-426"/>
        <w:rPr>
          <w:rFonts w:ascii="Times New Roman" w:hAnsi="Times New Roman"/>
          <w:sz w:val="28"/>
          <w:szCs w:val="28"/>
          <w:lang w:val="ru-RU"/>
        </w:rPr>
      </w:pPr>
      <w:r w:rsidRPr="00831C04">
        <w:rPr>
          <w:rFonts w:ascii="Times New Roman" w:hAnsi="Times New Roman"/>
          <w:sz w:val="28"/>
          <w:szCs w:val="28"/>
          <w:lang w:val="ru-RU"/>
        </w:rPr>
        <w:t xml:space="preserve">10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лютого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4606E">
        <w:rPr>
          <w:rFonts w:ascii="Times New Roman" w:hAnsi="Times New Roman"/>
          <w:sz w:val="28"/>
          <w:szCs w:val="28"/>
          <w:lang w:val="uk-UA"/>
        </w:rPr>
        <w:t xml:space="preserve"> 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№ </w:t>
      </w:r>
      <w:r w:rsidRPr="00831C04">
        <w:rPr>
          <w:rFonts w:ascii="Times New Roman" w:hAnsi="Times New Roman"/>
          <w:sz w:val="28"/>
          <w:szCs w:val="28"/>
          <w:lang w:val="ru-RU"/>
        </w:rPr>
        <w:t>148</w:t>
      </w:r>
    </w:p>
    <w:p w:rsidR="00B4606E" w:rsidRDefault="00B4606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B4606E" w:rsidRDefault="00B4606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комунального майна </w:t>
      </w:r>
    </w:p>
    <w:p w:rsidR="00B4606E" w:rsidRDefault="00B4606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праві господарського відання</w:t>
      </w:r>
    </w:p>
    <w:p w:rsidR="00B4606E" w:rsidRDefault="00B4606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«Благоустрій» ВМР</w:t>
      </w:r>
    </w:p>
    <w:p w:rsidR="00B4606E" w:rsidRDefault="00B4606E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B4606E" w:rsidRDefault="00B4606E" w:rsidP="006B3895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 15.12.2020 року                       №46 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Сопачівської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відповідно до Закону України  «Про передачу об’єктів права  державної та комунальної власності», ст.ст. 328, 329 Цивільного Кодексу України, керуючись ст. 59, 60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B4606E" w:rsidRDefault="00B4606E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606E" w:rsidRDefault="00B4606E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B4606E" w:rsidRDefault="00B4606E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4606E" w:rsidRDefault="00B4606E" w:rsidP="00833EE3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Передати з балансу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баланс комунального підприємства «Благоустрій»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на праві господарського відання комунальне майно згідно з додатком.</w:t>
      </w:r>
    </w:p>
    <w:p w:rsidR="00B4606E" w:rsidRPr="00833EE3" w:rsidRDefault="00B4606E" w:rsidP="00833EE3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606E" w:rsidRDefault="00B4606E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 Виконавчому комітету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передати з свого балансу вищевказане комунальне майно на баланс комунального підприємства «Благоустрій»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у відповідності до вимог чинного законодавства.</w:t>
      </w:r>
    </w:p>
    <w:p w:rsidR="00B4606E" w:rsidRPr="006B3895" w:rsidRDefault="00B4606E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4606E" w:rsidRDefault="00B4606E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3. Комунальному підприємству «Благоустрій» </w:t>
      </w:r>
      <w:proofErr w:type="spellStart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B4606E" w:rsidRPr="006B3895" w:rsidRDefault="00B4606E" w:rsidP="00833EE3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4606E" w:rsidRPr="006B3895" w:rsidRDefault="00B4606E" w:rsidP="008C7436">
      <w:pPr>
        <w:pStyle w:val="a3"/>
        <w:ind w:firstLine="56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4. Контроль за виконанням рішення залишаю за постійною депутатською комісією з питань комунального майна, житлової політики, 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нфраструктури та благоустрою</w:t>
      </w:r>
      <w:r w:rsidRPr="006B389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4606E" w:rsidRDefault="00B4606E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B4606E" w:rsidRDefault="00B4606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B4606E" w:rsidRDefault="00B4606E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Олександр МЕНЗУЛ</w:t>
      </w:r>
    </w:p>
    <w:p w:rsidR="00B4606E" w:rsidRPr="00181F18" w:rsidRDefault="00B4606E" w:rsidP="00181F18">
      <w:pPr>
        <w:ind w:left="5103"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lastRenderedPageBreak/>
        <w:t>Додаток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1</w:t>
      </w:r>
    </w:p>
    <w:p w:rsidR="00B4606E" w:rsidRPr="00181F18" w:rsidRDefault="00B4606E" w:rsidP="00181F18">
      <w:pPr>
        <w:ind w:left="5103"/>
        <w:jc w:val="right"/>
        <w:rPr>
          <w:rFonts w:ascii="Times New Roman" w:hAnsi="Times New Roman"/>
          <w:sz w:val="28"/>
          <w:szCs w:val="28"/>
          <w:lang w:val="ru-RU"/>
        </w:rPr>
      </w:pPr>
      <w:r w:rsidRPr="00181F18">
        <w:rPr>
          <w:rFonts w:ascii="Times New Roman" w:hAnsi="Times New Roman"/>
          <w:sz w:val="28"/>
          <w:szCs w:val="28"/>
          <w:lang w:val="ru-RU"/>
        </w:rPr>
        <w:t xml:space="preserve">до </w:t>
      </w:r>
      <w:proofErr w:type="spellStart"/>
      <w:proofErr w:type="gramStart"/>
      <w:r w:rsidRPr="00181F18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181F18"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t>Вараської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81F18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Pr="00181F18">
        <w:rPr>
          <w:rFonts w:ascii="Times New Roman" w:hAnsi="Times New Roman"/>
          <w:sz w:val="28"/>
          <w:szCs w:val="28"/>
          <w:lang w:val="ru-RU"/>
        </w:rPr>
        <w:t xml:space="preserve"> ради </w:t>
      </w:r>
    </w:p>
    <w:p w:rsidR="00B4606E" w:rsidRDefault="00B4606E" w:rsidP="00181F18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181F18">
        <w:rPr>
          <w:rFonts w:ascii="Times New Roman" w:hAnsi="Times New Roman"/>
          <w:sz w:val="28"/>
          <w:szCs w:val="28"/>
          <w:lang w:val="ru-RU"/>
        </w:rPr>
        <w:t xml:space="preserve">__________________2021 р. № ____ </w:t>
      </w:r>
    </w:p>
    <w:p w:rsidR="00B4606E" w:rsidRPr="00181F18" w:rsidRDefault="00B4606E" w:rsidP="00181F18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B4606E" w:rsidRDefault="00B4606E" w:rsidP="00833EE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Перелік майна виконавчого комітету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що передається на баланс комунальному підприємству «Благоустрій» </w:t>
      </w:r>
      <w:proofErr w:type="spellStart"/>
      <w:r w:rsidRPr="00181F18">
        <w:rPr>
          <w:rFonts w:ascii="Times New Roman" w:hAnsi="Times New Roman"/>
          <w:b/>
          <w:sz w:val="28"/>
          <w:szCs w:val="28"/>
          <w:lang w:val="uk-UA"/>
        </w:rPr>
        <w:t>Вараської</w:t>
      </w:r>
      <w:proofErr w:type="spellEnd"/>
      <w:r w:rsidRPr="00181F18">
        <w:rPr>
          <w:rFonts w:ascii="Times New Roman" w:hAnsi="Times New Roman"/>
          <w:b/>
          <w:sz w:val="28"/>
          <w:szCs w:val="28"/>
          <w:lang w:val="uk-UA"/>
        </w:rPr>
        <w:t xml:space="preserve"> міської ради</w:t>
      </w:r>
    </w:p>
    <w:tbl>
      <w:tblPr>
        <w:tblW w:w="9912" w:type="dxa"/>
        <w:tblInd w:w="96" w:type="dxa"/>
        <w:tblLayout w:type="fixed"/>
        <w:tblLook w:val="0000"/>
      </w:tblPr>
      <w:tblGrid>
        <w:gridCol w:w="732"/>
        <w:gridCol w:w="1974"/>
        <w:gridCol w:w="1417"/>
        <w:gridCol w:w="929"/>
        <w:gridCol w:w="720"/>
        <w:gridCol w:w="1260"/>
        <w:gridCol w:w="1260"/>
        <w:gridCol w:w="1620"/>
      </w:tblGrid>
      <w:tr w:rsidR="00B4606E" w:rsidRPr="0045094D" w:rsidTr="00833EE3">
        <w:trPr>
          <w:trHeight w:val="243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B4606E" w:rsidRPr="0045094D" w:rsidTr="004632E6">
        <w:trPr>
          <w:trHeight w:val="1416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B4606E" w:rsidRPr="0045094D" w:rsidTr="004632E6">
        <w:trPr>
          <w:cantSplit/>
          <w:trHeight w:val="290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632E6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</w:tr>
      <w:tr w:rsidR="00B4606E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Дороги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101330003-14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37,25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2747227,00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1590135,03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1157091,97</w:t>
            </w:r>
          </w:p>
        </w:tc>
      </w:tr>
      <w:tr w:rsidR="00B4606E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Обеліск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101330018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76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124,00</w:t>
            </w:r>
          </w:p>
        </w:tc>
      </w:tr>
      <w:tr w:rsidR="00B4606E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Вуличне освітлення </w:t>
            </w: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“Діброва”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101340015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30361,15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1518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28843,15</w:t>
            </w:r>
          </w:p>
        </w:tc>
      </w:tr>
      <w:tr w:rsidR="00B4606E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Вуличне освітлення </w:t>
            </w: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“Щоків”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101330016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40146,96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4014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36132,96</w:t>
            </w:r>
          </w:p>
        </w:tc>
      </w:tr>
      <w:tr w:rsidR="00B4606E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 xml:space="preserve">Вуличне освітлення </w:t>
            </w: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“Сопачів”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101330017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32388,80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5677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26711,80</w:t>
            </w:r>
          </w:p>
        </w:tc>
      </w:tr>
      <w:tr w:rsidR="00B4606E" w:rsidRPr="0045094D" w:rsidTr="004632E6">
        <w:trPr>
          <w:trHeight w:val="251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Башня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101350019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proofErr w:type="spellStart"/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шт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4032,00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1807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,00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2225,00</w:t>
            </w:r>
          </w:p>
        </w:tc>
      </w:tr>
      <w:tr w:rsidR="00B4606E" w:rsidRPr="0045094D" w:rsidTr="004632E6">
        <w:trPr>
          <w:trHeight w:val="32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2854355,91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ru-RU"/>
              </w:rPr>
              <w:t>1603227,03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 w:eastAsia="ru-RU"/>
              </w:rPr>
              <w:t>1251128,88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fldChar w:fldCharType="end"/>
            </w:r>
          </w:p>
        </w:tc>
      </w:tr>
    </w:tbl>
    <w:p w:rsidR="00B4606E" w:rsidRDefault="00B4606E">
      <w:pPr>
        <w:rPr>
          <w:lang w:val="uk-UA"/>
        </w:rPr>
      </w:pPr>
    </w:p>
    <w:p w:rsidR="00B4606E" w:rsidRPr="004632E6" w:rsidRDefault="00B4606E">
      <w:pPr>
        <w:rPr>
          <w:lang w:val="uk-UA"/>
        </w:rPr>
      </w:pPr>
    </w:p>
    <w:tbl>
      <w:tblPr>
        <w:tblW w:w="9912" w:type="dxa"/>
        <w:tblInd w:w="96" w:type="dxa"/>
        <w:tblLayout w:type="fixed"/>
        <w:tblLook w:val="0000"/>
      </w:tblPr>
      <w:tblGrid>
        <w:gridCol w:w="732"/>
        <w:gridCol w:w="1974"/>
        <w:gridCol w:w="1417"/>
        <w:gridCol w:w="929"/>
        <w:gridCol w:w="720"/>
        <w:gridCol w:w="1260"/>
        <w:gridCol w:w="1260"/>
        <w:gridCol w:w="1620"/>
      </w:tblGrid>
      <w:tr w:rsidR="00B4606E" w:rsidRPr="0045094D" w:rsidTr="004632E6">
        <w:trPr>
          <w:trHeight w:val="276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/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B4606E" w:rsidRPr="0045094D" w:rsidTr="004632E6">
        <w:trPr>
          <w:trHeight w:val="1428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B4606E" w:rsidRPr="0045094D" w:rsidTr="004632E6">
        <w:trPr>
          <w:trHeight w:val="27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</w:tr>
      <w:tr w:rsidR="00B4606E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Водопровід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101880001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696174,00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696174,00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B4606E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Канали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101880002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41025,00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41025,00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0,00</w:t>
            </w:r>
          </w:p>
        </w:tc>
      </w:tr>
      <w:tr w:rsidR="00B4606E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Електромережа</w:t>
            </w:r>
            <w:proofErr w:type="spellEnd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новобудова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101880003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210362,40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45390,00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164972,40</w:t>
            </w:r>
          </w:p>
        </w:tc>
      </w:tr>
      <w:tr w:rsidR="00B4606E" w:rsidRPr="0045094D" w:rsidTr="004632E6">
        <w:trPr>
          <w:trHeight w:val="27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947561,4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782589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164972,4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  <w:r w:rsidR="00B4606E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0</w:t>
            </w:r>
          </w:p>
        </w:tc>
      </w:tr>
    </w:tbl>
    <w:p w:rsidR="00B4606E" w:rsidRPr="0045094D" w:rsidRDefault="00B4606E" w:rsidP="0045094D">
      <w:pPr>
        <w:ind w:firstLine="0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912" w:type="dxa"/>
        <w:tblInd w:w="96" w:type="dxa"/>
        <w:tblLayout w:type="fixed"/>
        <w:tblLook w:val="0000"/>
      </w:tblPr>
      <w:tblGrid>
        <w:gridCol w:w="732"/>
        <w:gridCol w:w="1980"/>
        <w:gridCol w:w="1440"/>
        <w:gridCol w:w="900"/>
        <w:gridCol w:w="720"/>
        <w:gridCol w:w="1260"/>
        <w:gridCol w:w="1260"/>
        <w:gridCol w:w="1620"/>
      </w:tblGrid>
      <w:tr w:rsidR="00B4606E" w:rsidRPr="0045094D" w:rsidTr="004632E6">
        <w:trPr>
          <w:trHeight w:val="276"/>
        </w:trPr>
        <w:tc>
          <w:tcPr>
            <w:tcW w:w="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стисла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характеристика та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об’єкта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Інвентарний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Один</w:t>
            </w:r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имір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даними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бухгалтерського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іку</w:t>
            </w:r>
            <w:proofErr w:type="spellEnd"/>
          </w:p>
        </w:tc>
      </w:tr>
      <w:tr w:rsidR="00B4606E" w:rsidRPr="0045094D" w:rsidTr="004632E6">
        <w:trPr>
          <w:trHeight w:val="1428"/>
        </w:trPr>
        <w:tc>
          <w:tcPr>
            <w:tcW w:w="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сума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зносу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накопиченої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балансова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B4606E" w:rsidRPr="0045094D" w:rsidTr="004632E6">
        <w:trPr>
          <w:trHeight w:val="27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632E6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4632E6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8</w:t>
            </w:r>
          </w:p>
        </w:tc>
      </w:tr>
      <w:tr w:rsidR="00B4606E" w:rsidRPr="0045094D" w:rsidTr="004632E6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Лічильник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11370013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2331,86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1166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1165,86</w:t>
            </w:r>
          </w:p>
        </w:tc>
      </w:tr>
      <w:tr w:rsidR="00B4606E" w:rsidRPr="0045094D" w:rsidTr="00833EE3">
        <w:trPr>
          <w:trHeight w:val="264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Лічильник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11370014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1092,60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546</w:t>
            </w: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sz w:val="20"/>
                <w:szCs w:val="20"/>
                <w:lang w:val="uk-UA" w:eastAsia="ru-RU"/>
              </w:rPr>
              <w:t>546,60</w:t>
            </w:r>
          </w:p>
        </w:tc>
      </w:tr>
      <w:tr w:rsidR="00B4606E" w:rsidRPr="0045094D" w:rsidTr="00833EE3">
        <w:trPr>
          <w:trHeight w:val="27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Всього</w:t>
            </w:r>
            <w:proofErr w:type="spellEnd"/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3424,46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4606E" w:rsidRPr="0045094D" w:rsidRDefault="00B4606E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1712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4606E" w:rsidRPr="0045094D" w:rsidRDefault="00F7153A" w:rsidP="0045094D">
            <w:pPr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begin"/>
            </w:r>
            <w:r w:rsidR="00B4606E"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instrText xml:space="preserve"> =SUM(ABOVE) </w:instrTex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separate"/>
            </w:r>
            <w:r w:rsidR="00B4606E" w:rsidRPr="0045094D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k-UA" w:eastAsia="ru-RU"/>
              </w:rPr>
              <w:t>1712,46</w:t>
            </w:r>
            <w:r w:rsidRPr="0045094D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B4606E" w:rsidRPr="0045094D" w:rsidRDefault="00B4606E" w:rsidP="0045094D">
      <w:pPr>
        <w:ind w:firstLine="0"/>
        <w:rPr>
          <w:rFonts w:ascii="Times New Roman" w:hAnsi="Times New Roman"/>
          <w:sz w:val="20"/>
          <w:szCs w:val="20"/>
          <w:lang w:val="uk-UA" w:eastAsia="ru-RU"/>
        </w:rPr>
      </w:pPr>
    </w:p>
    <w:p w:rsidR="00B4606E" w:rsidRPr="0085380C" w:rsidRDefault="00B4606E" w:rsidP="00833EE3">
      <w:pPr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F7550D">
        <w:rPr>
          <w:rFonts w:ascii="Times New Roman" w:hAnsi="Times New Roman"/>
          <w:sz w:val="28"/>
          <w:szCs w:val="28"/>
          <w:lang w:val="uk-UA"/>
        </w:rPr>
        <w:t xml:space="preserve">Секретар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F7550D">
        <w:rPr>
          <w:rFonts w:ascii="Times New Roman" w:hAnsi="Times New Roman"/>
          <w:sz w:val="28"/>
          <w:szCs w:val="28"/>
          <w:lang w:val="uk-UA"/>
        </w:rPr>
        <w:t>ради                                                   Геннадій ДЕРЕВ’ЯНЧУК</w:t>
      </w:r>
      <w:r w:rsidRPr="008538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sectPr w:rsidR="00B4606E" w:rsidRPr="0085380C" w:rsidSect="00833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186"/>
    <w:rsid w:val="000107E8"/>
    <w:rsid w:val="00024DFB"/>
    <w:rsid w:val="00043499"/>
    <w:rsid w:val="00073CC3"/>
    <w:rsid w:val="000768C2"/>
    <w:rsid w:val="000A045B"/>
    <w:rsid w:val="000B1453"/>
    <w:rsid w:val="000B3455"/>
    <w:rsid w:val="000C0563"/>
    <w:rsid w:val="000F0911"/>
    <w:rsid w:val="00105D0E"/>
    <w:rsid w:val="001406D6"/>
    <w:rsid w:val="00144FB8"/>
    <w:rsid w:val="001462F7"/>
    <w:rsid w:val="00150A57"/>
    <w:rsid w:val="001552D3"/>
    <w:rsid w:val="00181F18"/>
    <w:rsid w:val="001A1A20"/>
    <w:rsid w:val="001B7DB2"/>
    <w:rsid w:val="001C65B9"/>
    <w:rsid w:val="002153F5"/>
    <w:rsid w:val="00216170"/>
    <w:rsid w:val="00226F1A"/>
    <w:rsid w:val="00235A25"/>
    <w:rsid w:val="00240BF2"/>
    <w:rsid w:val="00251C24"/>
    <w:rsid w:val="002526BB"/>
    <w:rsid w:val="002661CB"/>
    <w:rsid w:val="00266F77"/>
    <w:rsid w:val="002700F8"/>
    <w:rsid w:val="0028546E"/>
    <w:rsid w:val="002B547E"/>
    <w:rsid w:val="002B6D9B"/>
    <w:rsid w:val="002B7C6F"/>
    <w:rsid w:val="002D01BF"/>
    <w:rsid w:val="002E316E"/>
    <w:rsid w:val="002F0BBD"/>
    <w:rsid w:val="00302C2F"/>
    <w:rsid w:val="00303DDA"/>
    <w:rsid w:val="00306E67"/>
    <w:rsid w:val="00315E53"/>
    <w:rsid w:val="00321767"/>
    <w:rsid w:val="00351F75"/>
    <w:rsid w:val="00352322"/>
    <w:rsid w:val="00354272"/>
    <w:rsid w:val="003665D3"/>
    <w:rsid w:val="0037319B"/>
    <w:rsid w:val="00380DBB"/>
    <w:rsid w:val="003A6847"/>
    <w:rsid w:val="003B02C5"/>
    <w:rsid w:val="003C0C3F"/>
    <w:rsid w:val="003E5234"/>
    <w:rsid w:val="00416767"/>
    <w:rsid w:val="00440A26"/>
    <w:rsid w:val="0045094D"/>
    <w:rsid w:val="004515BC"/>
    <w:rsid w:val="004632E6"/>
    <w:rsid w:val="00471251"/>
    <w:rsid w:val="00475582"/>
    <w:rsid w:val="00475D86"/>
    <w:rsid w:val="00476E9A"/>
    <w:rsid w:val="0048234C"/>
    <w:rsid w:val="00485031"/>
    <w:rsid w:val="00496A2B"/>
    <w:rsid w:val="004E3990"/>
    <w:rsid w:val="004E5F9D"/>
    <w:rsid w:val="004F5412"/>
    <w:rsid w:val="004F5ACE"/>
    <w:rsid w:val="00501D95"/>
    <w:rsid w:val="00515BD2"/>
    <w:rsid w:val="005365A7"/>
    <w:rsid w:val="00537089"/>
    <w:rsid w:val="00551505"/>
    <w:rsid w:val="005519A9"/>
    <w:rsid w:val="00560A02"/>
    <w:rsid w:val="005A4F6C"/>
    <w:rsid w:val="005B3171"/>
    <w:rsid w:val="005B3644"/>
    <w:rsid w:val="005F1186"/>
    <w:rsid w:val="005F7B29"/>
    <w:rsid w:val="00613FC4"/>
    <w:rsid w:val="00641ED7"/>
    <w:rsid w:val="00646417"/>
    <w:rsid w:val="00651879"/>
    <w:rsid w:val="00655218"/>
    <w:rsid w:val="006577F6"/>
    <w:rsid w:val="00663135"/>
    <w:rsid w:val="0066346B"/>
    <w:rsid w:val="00676EA1"/>
    <w:rsid w:val="00695131"/>
    <w:rsid w:val="006B3895"/>
    <w:rsid w:val="006D232A"/>
    <w:rsid w:val="006E33CC"/>
    <w:rsid w:val="00726121"/>
    <w:rsid w:val="0076380C"/>
    <w:rsid w:val="00764431"/>
    <w:rsid w:val="0077587A"/>
    <w:rsid w:val="00775A34"/>
    <w:rsid w:val="00777411"/>
    <w:rsid w:val="007B4C43"/>
    <w:rsid w:val="007E5665"/>
    <w:rsid w:val="007F3C14"/>
    <w:rsid w:val="007F4884"/>
    <w:rsid w:val="007F749A"/>
    <w:rsid w:val="0080140E"/>
    <w:rsid w:val="00820F76"/>
    <w:rsid w:val="00831C04"/>
    <w:rsid w:val="00833EE3"/>
    <w:rsid w:val="00843CDD"/>
    <w:rsid w:val="00851041"/>
    <w:rsid w:val="00853080"/>
    <w:rsid w:val="0085380C"/>
    <w:rsid w:val="00860925"/>
    <w:rsid w:val="00862DD2"/>
    <w:rsid w:val="00863175"/>
    <w:rsid w:val="00871E31"/>
    <w:rsid w:val="008754CD"/>
    <w:rsid w:val="0089046B"/>
    <w:rsid w:val="008B437E"/>
    <w:rsid w:val="008B6023"/>
    <w:rsid w:val="008C7436"/>
    <w:rsid w:val="008D7B11"/>
    <w:rsid w:val="009052E2"/>
    <w:rsid w:val="00917594"/>
    <w:rsid w:val="0092076C"/>
    <w:rsid w:val="009233CA"/>
    <w:rsid w:val="00936371"/>
    <w:rsid w:val="00941037"/>
    <w:rsid w:val="0096127A"/>
    <w:rsid w:val="00962A0C"/>
    <w:rsid w:val="009A201E"/>
    <w:rsid w:val="009D1BFB"/>
    <w:rsid w:val="009D673B"/>
    <w:rsid w:val="00A20D12"/>
    <w:rsid w:val="00A2188D"/>
    <w:rsid w:val="00A2698B"/>
    <w:rsid w:val="00A3459D"/>
    <w:rsid w:val="00A34CB0"/>
    <w:rsid w:val="00A50639"/>
    <w:rsid w:val="00A755F8"/>
    <w:rsid w:val="00A86D5A"/>
    <w:rsid w:val="00AA2BF8"/>
    <w:rsid w:val="00AA2E56"/>
    <w:rsid w:val="00AB79DF"/>
    <w:rsid w:val="00AC31E0"/>
    <w:rsid w:val="00AD0CB1"/>
    <w:rsid w:val="00AF130A"/>
    <w:rsid w:val="00B04E76"/>
    <w:rsid w:val="00B22DFF"/>
    <w:rsid w:val="00B26060"/>
    <w:rsid w:val="00B318B9"/>
    <w:rsid w:val="00B45E64"/>
    <w:rsid w:val="00B4606E"/>
    <w:rsid w:val="00B629E8"/>
    <w:rsid w:val="00B72CF9"/>
    <w:rsid w:val="00B82E3B"/>
    <w:rsid w:val="00B918B7"/>
    <w:rsid w:val="00BA374A"/>
    <w:rsid w:val="00BA4B1F"/>
    <w:rsid w:val="00BA536F"/>
    <w:rsid w:val="00BA742A"/>
    <w:rsid w:val="00BF0FB7"/>
    <w:rsid w:val="00BF1010"/>
    <w:rsid w:val="00BF6A78"/>
    <w:rsid w:val="00C058E3"/>
    <w:rsid w:val="00C36CE9"/>
    <w:rsid w:val="00C655C0"/>
    <w:rsid w:val="00C73C31"/>
    <w:rsid w:val="00C745F3"/>
    <w:rsid w:val="00C84281"/>
    <w:rsid w:val="00C903DE"/>
    <w:rsid w:val="00C91CD1"/>
    <w:rsid w:val="00CA768A"/>
    <w:rsid w:val="00CB467A"/>
    <w:rsid w:val="00CB4996"/>
    <w:rsid w:val="00CC697B"/>
    <w:rsid w:val="00CE762B"/>
    <w:rsid w:val="00D45E16"/>
    <w:rsid w:val="00D52A85"/>
    <w:rsid w:val="00D67D37"/>
    <w:rsid w:val="00D82601"/>
    <w:rsid w:val="00D8393A"/>
    <w:rsid w:val="00DB7816"/>
    <w:rsid w:val="00DC4FB1"/>
    <w:rsid w:val="00DC7224"/>
    <w:rsid w:val="00DE1B7E"/>
    <w:rsid w:val="00DE1CC0"/>
    <w:rsid w:val="00DE60B9"/>
    <w:rsid w:val="00E12AB5"/>
    <w:rsid w:val="00E2467B"/>
    <w:rsid w:val="00E41645"/>
    <w:rsid w:val="00E77E84"/>
    <w:rsid w:val="00E86D9D"/>
    <w:rsid w:val="00EB2348"/>
    <w:rsid w:val="00EB6DFF"/>
    <w:rsid w:val="00EC5F3C"/>
    <w:rsid w:val="00ED0A91"/>
    <w:rsid w:val="00ED1A96"/>
    <w:rsid w:val="00ED713B"/>
    <w:rsid w:val="00EE2BAF"/>
    <w:rsid w:val="00EE41DC"/>
    <w:rsid w:val="00EF3B36"/>
    <w:rsid w:val="00EF6410"/>
    <w:rsid w:val="00F1512A"/>
    <w:rsid w:val="00F21B65"/>
    <w:rsid w:val="00F22146"/>
    <w:rsid w:val="00F3470D"/>
    <w:rsid w:val="00F51132"/>
    <w:rsid w:val="00F531AE"/>
    <w:rsid w:val="00F61822"/>
    <w:rsid w:val="00F7153A"/>
    <w:rsid w:val="00F7550D"/>
    <w:rsid w:val="00F81929"/>
    <w:rsid w:val="00F8308D"/>
    <w:rsid w:val="00F85B14"/>
    <w:rsid w:val="00FA69E6"/>
    <w:rsid w:val="00FC6F26"/>
    <w:rsid w:val="00FD15E0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86"/>
    <w:pPr>
      <w:ind w:firstLine="360"/>
    </w:pPr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1186"/>
    <w:pPr>
      <w:ind w:firstLine="360"/>
    </w:pPr>
    <w:rPr>
      <w:rFonts w:eastAsia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F1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11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3379</Characters>
  <Application>Microsoft Office Word</Application>
  <DocSecurity>0</DocSecurity>
  <Lines>28</Lines>
  <Paragraphs>7</Paragraphs>
  <ScaleCrop>false</ScaleCrop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ФОС</dc:creator>
  <cp:lastModifiedBy>Userr</cp:lastModifiedBy>
  <cp:revision>3</cp:revision>
  <cp:lastPrinted>2021-02-05T07:00:00Z</cp:lastPrinted>
  <dcterms:created xsi:type="dcterms:W3CDTF">2021-02-09T10:01:00Z</dcterms:created>
  <dcterms:modified xsi:type="dcterms:W3CDTF">2021-02-10T14:04:00Z</dcterms:modified>
</cp:coreProperties>
</file>