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4"/>
        <w:gridCol w:w="4815"/>
      </w:tblGrid>
      <w:tr w:rsidR="00706E7B" w:rsidTr="00807FEF">
        <w:tc>
          <w:tcPr>
            <w:tcW w:w="4814" w:type="dxa"/>
          </w:tcPr>
          <w:p w:rsidR="00706E7B" w:rsidRPr="00D10E2F" w:rsidRDefault="00D10E2F" w:rsidP="00B668BA">
            <w:pPr>
              <w:pStyle w:val="2"/>
              <w:ind w:left="0"/>
              <w:outlineLvl w:val="1"/>
            </w:pPr>
            <w:bookmarkStart w:id="0" w:name="_GoBack"/>
            <w:bookmarkEnd w:id="0"/>
            <w:r w:rsidRPr="00D10E2F">
              <w:t>Проект Правил</w:t>
            </w:r>
            <w:r w:rsidR="006118BE">
              <w:t xml:space="preserve"> </w:t>
            </w:r>
            <w:r w:rsidR="006118BE" w:rsidRPr="00D10E2F">
              <w:t>благоустрою території Вараської міської територіальної громади</w:t>
            </w:r>
            <w:r w:rsidRPr="00D10E2F">
              <w:t xml:space="preserve"> (згідно проекту рішення ВМР від 21.07.2022року №2095-ПРР-</w:t>
            </w:r>
            <w:r w:rsidRPr="00D10E2F">
              <w:rPr>
                <w:lang w:val="en-US"/>
              </w:rPr>
              <w:t>VIII</w:t>
            </w:r>
            <w:r w:rsidRPr="00D10E2F">
              <w:t>-4310)</w:t>
            </w:r>
          </w:p>
        </w:tc>
        <w:tc>
          <w:tcPr>
            <w:tcW w:w="4815" w:type="dxa"/>
          </w:tcPr>
          <w:p w:rsidR="00706E7B" w:rsidRPr="006118BE" w:rsidRDefault="00D10E2F" w:rsidP="00B668BA">
            <w:pPr>
              <w:pStyle w:val="a4"/>
              <w:jc w:val="both"/>
              <w:rPr>
                <w:rFonts w:ascii="Times New Roman" w:hAnsi="Times New Roman" w:cs="Times New Roman"/>
                <w:sz w:val="28"/>
                <w:szCs w:val="28"/>
              </w:rPr>
            </w:pPr>
            <w:r w:rsidRPr="006118BE">
              <w:rPr>
                <w:rFonts w:ascii="Times New Roman" w:hAnsi="Times New Roman" w:cs="Times New Roman"/>
                <w:sz w:val="28"/>
                <w:szCs w:val="28"/>
              </w:rPr>
              <w:t>Запропонований</w:t>
            </w:r>
            <w:r w:rsidR="006118BE" w:rsidRPr="006118BE">
              <w:rPr>
                <w:rFonts w:ascii="Times New Roman" w:hAnsi="Times New Roman" w:cs="Times New Roman"/>
                <w:sz w:val="28"/>
                <w:szCs w:val="28"/>
              </w:rPr>
              <w:t xml:space="preserve"> до розгляду </w:t>
            </w:r>
            <w:r w:rsidRPr="006118BE">
              <w:rPr>
                <w:rFonts w:ascii="Times New Roman" w:hAnsi="Times New Roman" w:cs="Times New Roman"/>
                <w:sz w:val="28"/>
                <w:szCs w:val="28"/>
              </w:rPr>
              <w:t xml:space="preserve">проект </w:t>
            </w:r>
            <w:r w:rsidRPr="00B668BA">
              <w:rPr>
                <w:rFonts w:ascii="Times New Roman" w:hAnsi="Times New Roman" w:cs="Times New Roman"/>
                <w:sz w:val="28"/>
                <w:szCs w:val="28"/>
              </w:rPr>
              <w:t xml:space="preserve">Правил </w:t>
            </w:r>
            <w:r w:rsidR="00B668BA" w:rsidRPr="00B668BA">
              <w:rPr>
                <w:rFonts w:ascii="Times New Roman" w:hAnsi="Times New Roman" w:cs="Times New Roman"/>
                <w:sz w:val="28"/>
                <w:szCs w:val="28"/>
              </w:rPr>
              <w:t>благоустрою території Вараської міської територіальної громади</w:t>
            </w:r>
          </w:p>
        </w:tc>
      </w:tr>
      <w:tr w:rsidR="00807FEF" w:rsidTr="00807FEF">
        <w:tc>
          <w:tcPr>
            <w:tcW w:w="4814" w:type="dxa"/>
          </w:tcPr>
          <w:p w:rsidR="00807FEF" w:rsidRPr="00D10E2F" w:rsidRDefault="00D10E2F" w:rsidP="00860CD7">
            <w:pPr>
              <w:pStyle w:val="2"/>
              <w:outlineLvl w:val="1"/>
            </w:pPr>
            <w:r w:rsidRPr="00D10E2F">
              <w:t>1.1</w:t>
            </w:r>
            <w:r w:rsidR="00557AF1">
              <w:t xml:space="preserve"> </w:t>
            </w:r>
            <w:r w:rsidR="00807FEF" w:rsidRPr="00D10E2F">
              <w:t xml:space="preserve">Правила благоустрою території Вараської міської територіальної громади (далі – Правила) є нормативно-правовим актом, яким встановлюється порядок благоустрою та утримання об’єктів благоустрою населених пунктів Вараської міської територіальної громади (далі – </w:t>
            </w:r>
            <w:proofErr w:type="spellStart"/>
            <w:r w:rsidR="00807FEF" w:rsidRPr="00D10E2F">
              <w:t>Вараська</w:t>
            </w:r>
            <w:proofErr w:type="spellEnd"/>
            <w:r w:rsidR="00807FEF" w:rsidRPr="00D10E2F">
              <w:t xml:space="preserve"> МТГ), визначаються правові, економічні, екологічні, естетичні, соціальні та організаційні засади благоустрою на території населених пунктів Вараської МТГ та поза їх межами.</w:t>
            </w:r>
          </w:p>
          <w:p w:rsidR="00807FEF" w:rsidRDefault="00807FEF"/>
        </w:tc>
        <w:tc>
          <w:tcPr>
            <w:tcW w:w="4815" w:type="dxa"/>
          </w:tcPr>
          <w:p w:rsidR="00807FEF" w:rsidRPr="00807FEF" w:rsidRDefault="00807FEF" w:rsidP="00860CD7">
            <w:pPr>
              <w:widowControl w:val="0"/>
              <w:numPr>
                <w:ilvl w:val="1"/>
                <w:numId w:val="2"/>
              </w:numPr>
              <w:suppressAutoHyphens/>
              <w:spacing w:before="120"/>
              <w:ind w:left="43" w:hanging="43"/>
              <w:jc w:val="both"/>
              <w:outlineLvl w:val="1"/>
              <w:rPr>
                <w:rFonts w:ascii="Times New Roman" w:eastAsiaTheme="majorEastAsia" w:hAnsi="Times New Roman" w:cs="Times New Roman"/>
                <w:sz w:val="28"/>
                <w:szCs w:val="28"/>
              </w:rPr>
            </w:pPr>
            <w:r w:rsidRPr="00807FEF">
              <w:rPr>
                <w:rFonts w:ascii="Times New Roman" w:eastAsiaTheme="majorEastAsia" w:hAnsi="Times New Roman" w:cs="Times New Roman"/>
                <w:sz w:val="28"/>
                <w:szCs w:val="28"/>
              </w:rPr>
              <w:t xml:space="preserve">Правила благоустрою території Вараської міської територіальної громади (далі – Правила) є нормативно-правовим актом, яким встановлюються вимоги щодо благоустрою території населених пунктів Вараської міської територіальної громади (далі – </w:t>
            </w:r>
            <w:proofErr w:type="spellStart"/>
            <w:r w:rsidRPr="00807FEF">
              <w:rPr>
                <w:rFonts w:ascii="Times New Roman" w:eastAsiaTheme="majorEastAsia" w:hAnsi="Times New Roman" w:cs="Times New Roman"/>
                <w:sz w:val="28"/>
                <w:szCs w:val="28"/>
              </w:rPr>
              <w:t>Вараська</w:t>
            </w:r>
            <w:proofErr w:type="spellEnd"/>
            <w:r w:rsidRPr="00807FEF">
              <w:rPr>
                <w:rFonts w:ascii="Times New Roman" w:eastAsiaTheme="majorEastAsia" w:hAnsi="Times New Roman" w:cs="Times New Roman"/>
                <w:sz w:val="28"/>
                <w:szCs w:val="28"/>
              </w:rPr>
              <w:t xml:space="preserve"> МТГ).</w:t>
            </w:r>
          </w:p>
          <w:p w:rsidR="00807FEF" w:rsidRDefault="00807FEF"/>
        </w:tc>
      </w:tr>
      <w:tr w:rsidR="00807FEF" w:rsidTr="00807FEF">
        <w:tc>
          <w:tcPr>
            <w:tcW w:w="4814" w:type="dxa"/>
          </w:tcPr>
          <w:p w:rsidR="00E23A7A" w:rsidRPr="00C74F2E" w:rsidRDefault="00E23A7A" w:rsidP="00860CD7">
            <w:pPr>
              <w:pStyle w:val="2"/>
              <w:outlineLvl w:val="1"/>
            </w:pPr>
            <w:r>
              <w:t xml:space="preserve">2.1 </w:t>
            </w:r>
            <w:r w:rsidRPr="00C74F2E">
              <w:t>Благоустрій територій здійснюється з урахуванням особливостей таких територій відповідно до вимог законодавства та нормативно-технічних документів.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 та інших чинних нормативно-правових актів.</w:t>
            </w:r>
          </w:p>
          <w:p w:rsidR="00807FEF" w:rsidRDefault="00807FEF"/>
        </w:tc>
        <w:tc>
          <w:tcPr>
            <w:tcW w:w="4815" w:type="dxa"/>
          </w:tcPr>
          <w:p w:rsidR="00E23A7A" w:rsidRPr="00E23A7A" w:rsidRDefault="00E23A7A" w:rsidP="00860CD7">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2.1 </w:t>
            </w:r>
            <w:r w:rsidRPr="00E23A7A">
              <w:rPr>
                <w:rFonts w:ascii="Times New Roman" w:eastAsiaTheme="majorEastAsia" w:hAnsi="Times New Roman" w:cs="Times New Roman"/>
                <w:sz w:val="28"/>
                <w:szCs w:val="28"/>
              </w:rPr>
              <w:t>Благоустрій територій здійснюється з урахуванням особливостей таких територій відповідно до вимог законодавства та нормативно-технічних документів.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«Благоустрій територій. Зміна №1» та інших чинних нормативно-правових актів.</w:t>
            </w:r>
          </w:p>
          <w:p w:rsidR="00807FEF" w:rsidRDefault="00807FEF"/>
        </w:tc>
      </w:tr>
      <w:tr w:rsidR="00807FEF" w:rsidTr="00807FEF">
        <w:tc>
          <w:tcPr>
            <w:tcW w:w="4814" w:type="dxa"/>
          </w:tcPr>
          <w:p w:rsidR="003B6787" w:rsidRPr="00C74F2E" w:rsidRDefault="003B6787" w:rsidP="00860CD7">
            <w:pPr>
              <w:pStyle w:val="2"/>
              <w:outlineLvl w:val="1"/>
            </w:pPr>
            <w:r>
              <w:t>3.1</w:t>
            </w:r>
            <w:r w:rsidR="00557AF1">
              <w:t xml:space="preserve"> </w:t>
            </w:r>
            <w:r w:rsidRPr="00C74F2E">
              <w:t xml:space="preserve">Підприємства, установи, організації, інші юридичні та фізичні особи, які розміщуються на території об’єкта благоустрою, самостійно утримують закріплену за ними </w:t>
            </w:r>
            <w:r w:rsidRPr="00C74F2E">
              <w:lastRenderedPageBreak/>
              <w:t>територію або беруть пайову участь в утриманні цього об’єкта на умовах договору, укладеного із балансоутримувачем.</w:t>
            </w:r>
          </w:p>
          <w:p w:rsidR="00B767FC" w:rsidRPr="00C74F2E" w:rsidRDefault="00B767FC" w:rsidP="00860CD7">
            <w:pPr>
              <w:pStyle w:val="2"/>
              <w:outlineLvl w:val="1"/>
            </w:pPr>
            <w:r>
              <w:t>3.3</w:t>
            </w:r>
            <w:r w:rsidR="00860CD7">
              <w:t xml:space="preserve"> </w:t>
            </w:r>
            <w:r w:rsidRPr="00C74F2E">
              <w:t>Визначення обсягів пайової участі підприємств, установ, організацій, інших фізичних та юридичних осіб (В), які розміщуються на території об’єкта благоустрою, в утриманні цього об’єкта здійснюють органи місцевого самоврядування за формулою:</w:t>
            </w:r>
          </w:p>
          <w:p w:rsidR="00B767FC" w:rsidRPr="00C74F2E" w:rsidRDefault="00B767FC" w:rsidP="00860CD7">
            <w:pPr>
              <w:pStyle w:val="2"/>
              <w:outlineLvl w:val="1"/>
            </w:pPr>
            <w:r w:rsidRPr="00C74F2E">
              <w:t xml:space="preserve">В = </w:t>
            </w:r>
            <w:proofErr w:type="spellStart"/>
            <w:r w:rsidRPr="00C74F2E">
              <w:t>Пз</w:t>
            </w:r>
            <w:proofErr w:type="spellEnd"/>
            <w:r w:rsidRPr="00C74F2E">
              <w:t xml:space="preserve"> х </w:t>
            </w:r>
            <w:proofErr w:type="spellStart"/>
            <w:r w:rsidRPr="00C74F2E">
              <w:t>Сбв</w:t>
            </w:r>
            <w:proofErr w:type="spellEnd"/>
            <w:r w:rsidRPr="00C74F2E">
              <w:t>,</w:t>
            </w:r>
          </w:p>
          <w:p w:rsidR="00B767FC" w:rsidRPr="00C74F2E" w:rsidRDefault="00B767FC" w:rsidP="00860CD7">
            <w:pPr>
              <w:pStyle w:val="2"/>
              <w:outlineLvl w:val="1"/>
            </w:pPr>
            <w:r w:rsidRPr="00C74F2E">
              <w:t>де</w:t>
            </w:r>
          </w:p>
          <w:p w:rsidR="00B767FC" w:rsidRPr="00C74F2E" w:rsidRDefault="00B767FC" w:rsidP="00860CD7">
            <w:pPr>
              <w:pStyle w:val="2"/>
              <w:outlineLvl w:val="1"/>
            </w:pPr>
            <w:proofErr w:type="spellStart"/>
            <w:r w:rsidRPr="00C74F2E">
              <w:t>Пз</w:t>
            </w:r>
            <w:proofErr w:type="spellEnd"/>
            <w:r w:rsidRPr="00C74F2E">
              <w:t xml:space="preserve"> – загальна площа території, закріпленої за підприємством, установою, організацією;</w:t>
            </w:r>
          </w:p>
          <w:p w:rsidR="00B767FC" w:rsidRPr="00C74F2E" w:rsidRDefault="00B767FC" w:rsidP="00860CD7">
            <w:pPr>
              <w:pStyle w:val="2"/>
              <w:outlineLvl w:val="1"/>
            </w:pPr>
            <w:proofErr w:type="spellStart"/>
            <w:r w:rsidRPr="00C74F2E">
              <w:t>Сбв</w:t>
            </w:r>
            <w:proofErr w:type="spellEnd"/>
            <w:r w:rsidRPr="00C74F2E">
              <w:t xml:space="preserve"> – базова вартість утримання одного квадратного метра земель, яка визначається на підставі  розрахунків,  наданих комунальним підприємством, яке здійснює заходи по утриманню об’єктів благоустрою  території Вараської МТГ та затверджена виконавчим комітетом Вараської міської ради. </w:t>
            </w:r>
          </w:p>
          <w:p w:rsidR="00B767FC" w:rsidRPr="00C74F2E" w:rsidRDefault="00B767FC" w:rsidP="00860CD7">
            <w:pPr>
              <w:pStyle w:val="2"/>
              <w:outlineLvl w:val="1"/>
            </w:pPr>
            <w:r w:rsidRPr="00C74F2E">
              <w:t>Базова вартість (</w:t>
            </w:r>
            <w:proofErr w:type="spellStart"/>
            <w:r w:rsidRPr="00C74F2E">
              <w:t>Сбв</w:t>
            </w:r>
            <w:proofErr w:type="spellEnd"/>
            <w:r w:rsidRPr="00C74F2E">
              <w:t>) переглядається виконавчим комітетом Вараської міської ради не рідше одного разу на рік.</w:t>
            </w:r>
          </w:p>
          <w:p w:rsidR="00807FEF" w:rsidRDefault="00807FEF"/>
        </w:tc>
        <w:tc>
          <w:tcPr>
            <w:tcW w:w="4815" w:type="dxa"/>
          </w:tcPr>
          <w:p w:rsidR="006C3DFD" w:rsidRDefault="003B6787" w:rsidP="006C3DFD">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3.1</w:t>
            </w:r>
            <w:r w:rsidR="00557AF1">
              <w:rPr>
                <w:rFonts w:ascii="Times New Roman" w:eastAsiaTheme="majorEastAsia" w:hAnsi="Times New Roman" w:cs="Times New Roman"/>
                <w:sz w:val="28"/>
                <w:szCs w:val="28"/>
              </w:rPr>
              <w:t xml:space="preserve"> </w:t>
            </w:r>
            <w:r w:rsidRPr="003B6787">
              <w:rPr>
                <w:rFonts w:ascii="Times New Roman" w:eastAsiaTheme="majorEastAsia" w:hAnsi="Times New Roman" w:cs="Times New Roman"/>
                <w:sz w:val="28"/>
                <w:szCs w:val="28"/>
              </w:rPr>
              <w:t xml:space="preserve">Підприємства, установи, організації, які розміщуються на території об’єкта благоустрою, можуть утримувати закріплену за ними територію або брати пайову </w:t>
            </w:r>
            <w:r w:rsidRPr="003B6787">
              <w:rPr>
                <w:rFonts w:ascii="Times New Roman" w:eastAsiaTheme="majorEastAsia" w:hAnsi="Times New Roman" w:cs="Times New Roman"/>
                <w:sz w:val="28"/>
                <w:szCs w:val="28"/>
              </w:rPr>
              <w:lastRenderedPageBreak/>
              <w:t>участь в утриманні цього об’єкта на умовах договору, укладеного із балансоутримувачем.</w:t>
            </w:r>
          </w:p>
          <w:p w:rsidR="006C3DFD" w:rsidRPr="003B6787" w:rsidRDefault="006C3DFD" w:rsidP="006C3DFD">
            <w:pPr>
              <w:widowControl w:val="0"/>
              <w:suppressAutoHyphens/>
              <w:spacing w:before="120"/>
              <w:ind w:left="43"/>
              <w:jc w:val="both"/>
              <w:outlineLvl w:val="1"/>
              <w:rPr>
                <w:rFonts w:ascii="Times New Roman" w:eastAsiaTheme="majorEastAsia" w:hAnsi="Times New Roman" w:cs="Times New Roman"/>
                <w:sz w:val="28"/>
                <w:szCs w:val="28"/>
              </w:rPr>
            </w:pPr>
          </w:p>
          <w:p w:rsidR="00346E36" w:rsidRPr="00624F63" w:rsidRDefault="00346E36" w:rsidP="00860CD7">
            <w:pPr>
              <w:pStyle w:val="2"/>
              <w:outlineLvl w:val="1"/>
            </w:pPr>
            <w:r>
              <w:t>3.3</w:t>
            </w:r>
            <w:r w:rsidR="00860CD7">
              <w:t xml:space="preserve"> </w:t>
            </w:r>
            <w:r w:rsidRPr="00624F63">
              <w:t>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346E36" w:rsidRPr="00624F63" w:rsidRDefault="00346E36" w:rsidP="00860CD7">
            <w:pPr>
              <w:pStyle w:val="2"/>
              <w:outlineLvl w:val="1"/>
            </w:pPr>
            <w:r w:rsidRPr="00624F63">
              <w:t xml:space="preserve">В = </w:t>
            </w:r>
            <w:proofErr w:type="spellStart"/>
            <w:r w:rsidRPr="00624F63">
              <w:t>Пз</w:t>
            </w:r>
            <w:proofErr w:type="spellEnd"/>
            <w:r w:rsidRPr="00624F63">
              <w:t xml:space="preserve"> х </w:t>
            </w:r>
            <w:proofErr w:type="spellStart"/>
            <w:r w:rsidRPr="00624F63">
              <w:t>Сбв</w:t>
            </w:r>
            <w:proofErr w:type="spellEnd"/>
            <w:r w:rsidRPr="00624F63">
              <w:t>,</w:t>
            </w:r>
          </w:p>
          <w:p w:rsidR="00346E36" w:rsidRPr="00624F63" w:rsidRDefault="00346E36" w:rsidP="00860CD7">
            <w:pPr>
              <w:pStyle w:val="2"/>
              <w:outlineLvl w:val="1"/>
            </w:pPr>
            <w:r w:rsidRPr="00624F63">
              <w:t>де</w:t>
            </w:r>
          </w:p>
          <w:p w:rsidR="00346E36" w:rsidRPr="00624F63" w:rsidRDefault="00346E36" w:rsidP="00860CD7">
            <w:pPr>
              <w:pStyle w:val="2"/>
              <w:outlineLvl w:val="1"/>
            </w:pPr>
            <w:proofErr w:type="spellStart"/>
            <w:r w:rsidRPr="00624F63">
              <w:t>Пз</w:t>
            </w:r>
            <w:proofErr w:type="spellEnd"/>
            <w:r w:rsidRPr="00624F63">
              <w:t xml:space="preserve"> – загальна площа території, закріпленої за підприємством, установою, організацією;</w:t>
            </w:r>
          </w:p>
          <w:p w:rsidR="00346E36" w:rsidRPr="00624F63" w:rsidRDefault="00346E36" w:rsidP="00860CD7">
            <w:pPr>
              <w:pStyle w:val="2"/>
              <w:outlineLvl w:val="1"/>
            </w:pPr>
            <w:proofErr w:type="spellStart"/>
            <w:r w:rsidRPr="00624F63">
              <w:t>Сбв</w:t>
            </w:r>
            <w:proofErr w:type="spellEnd"/>
            <w:r w:rsidRPr="00624F63">
              <w:t xml:space="preserve"> – 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p w:rsidR="00346E36" w:rsidRDefault="00346E36"/>
        </w:tc>
      </w:tr>
      <w:tr w:rsidR="00AD7543" w:rsidTr="00807FEF">
        <w:tc>
          <w:tcPr>
            <w:tcW w:w="4814" w:type="dxa"/>
          </w:tcPr>
          <w:p w:rsidR="00AD7543" w:rsidRPr="00C74F2E" w:rsidRDefault="00AD7543" w:rsidP="00860CD7">
            <w:pPr>
              <w:pStyle w:val="2"/>
              <w:outlineLvl w:val="1"/>
            </w:pPr>
            <w:r>
              <w:lastRenderedPageBreak/>
              <w:t>3.4</w:t>
            </w:r>
            <w:r w:rsidR="00860CD7">
              <w:t xml:space="preserve"> </w:t>
            </w:r>
            <w:r w:rsidRPr="00C74F2E">
              <w:t>Підприємства, установи, організації, інші юридичні та фізичні особи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AD7543" w:rsidRDefault="00AD7543" w:rsidP="00840E4C">
            <w:pPr>
              <w:widowControl w:val="0"/>
              <w:suppressAutoHyphens/>
              <w:spacing w:before="120" w:after="240"/>
              <w:ind w:left="851"/>
              <w:jc w:val="both"/>
              <w:outlineLvl w:val="3"/>
              <w:rPr>
                <w:rFonts w:ascii="Times New Roman" w:eastAsia="Times New Roman" w:hAnsi="Times New Roman" w:cs="Times New Roman"/>
                <w:sz w:val="28"/>
                <w:szCs w:val="28"/>
              </w:rPr>
            </w:pPr>
          </w:p>
        </w:tc>
        <w:tc>
          <w:tcPr>
            <w:tcW w:w="4815" w:type="dxa"/>
          </w:tcPr>
          <w:p w:rsidR="005F2EC8" w:rsidRPr="005F2EC8" w:rsidRDefault="005F2EC8" w:rsidP="00860CD7">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3.4</w:t>
            </w:r>
            <w:r w:rsidR="00860CD7">
              <w:rPr>
                <w:rFonts w:ascii="Times New Roman" w:eastAsiaTheme="majorEastAsia" w:hAnsi="Times New Roman" w:cs="Times New Roman"/>
                <w:sz w:val="28"/>
                <w:szCs w:val="28"/>
              </w:rPr>
              <w:t xml:space="preserve"> </w:t>
            </w:r>
            <w:r w:rsidRPr="005F2EC8">
              <w:rPr>
                <w:rFonts w:ascii="Times New Roman" w:eastAsiaTheme="majorEastAsia" w:hAnsi="Times New Roman" w:cs="Times New Roman"/>
                <w:sz w:val="28"/>
                <w:szCs w:val="28"/>
              </w:rPr>
              <w:t>Підприємства, установи,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AD7543" w:rsidRPr="00076967" w:rsidRDefault="00AD7543" w:rsidP="00AD7543">
            <w:pPr>
              <w:widowControl w:val="0"/>
              <w:suppressAutoHyphens/>
              <w:spacing w:before="120" w:after="240" w:line="256" w:lineRule="auto"/>
              <w:jc w:val="both"/>
              <w:outlineLvl w:val="3"/>
              <w:rPr>
                <w:rFonts w:ascii="Times New Roman" w:eastAsiaTheme="majorEastAsia" w:hAnsi="Times New Roman" w:cs="Times New Roman"/>
                <w:sz w:val="28"/>
                <w:szCs w:val="28"/>
              </w:rPr>
            </w:pPr>
          </w:p>
        </w:tc>
      </w:tr>
      <w:tr w:rsidR="00A45B78" w:rsidTr="00807FEF">
        <w:tc>
          <w:tcPr>
            <w:tcW w:w="4814" w:type="dxa"/>
          </w:tcPr>
          <w:p w:rsidR="00A45B78" w:rsidRPr="00C74F2E" w:rsidRDefault="00A45B78" w:rsidP="00860CD7">
            <w:pPr>
              <w:pStyle w:val="2"/>
              <w:outlineLvl w:val="1"/>
            </w:pPr>
            <w:r>
              <w:lastRenderedPageBreak/>
              <w:t>3.5</w:t>
            </w:r>
            <w:r w:rsidR="00860CD7">
              <w:t xml:space="preserve"> </w:t>
            </w:r>
            <w:r w:rsidRPr="00C74F2E">
              <w:t>Підприємства, установи, організації, юридичні та фізичні особи, які експлуатують ліхтарі вуличного освітлення, засоби та обладнання зовнішнього освітлення, світлові покажчики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A45B78" w:rsidRDefault="00A45B78" w:rsidP="00840E4C">
            <w:pPr>
              <w:widowControl w:val="0"/>
              <w:suppressAutoHyphens/>
              <w:spacing w:before="120" w:after="240"/>
              <w:ind w:left="851"/>
              <w:jc w:val="both"/>
              <w:outlineLvl w:val="3"/>
              <w:rPr>
                <w:rFonts w:ascii="Times New Roman" w:eastAsia="Times New Roman" w:hAnsi="Times New Roman" w:cs="Times New Roman"/>
                <w:sz w:val="28"/>
                <w:szCs w:val="28"/>
              </w:rPr>
            </w:pPr>
          </w:p>
        </w:tc>
        <w:tc>
          <w:tcPr>
            <w:tcW w:w="4815" w:type="dxa"/>
          </w:tcPr>
          <w:p w:rsidR="00A45B78" w:rsidRPr="00A45B78" w:rsidRDefault="00A45B78" w:rsidP="00860CD7">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3.5</w:t>
            </w:r>
            <w:r w:rsidR="00860CD7">
              <w:rPr>
                <w:rFonts w:ascii="Times New Roman" w:eastAsiaTheme="majorEastAsia" w:hAnsi="Times New Roman" w:cs="Times New Roman"/>
                <w:sz w:val="28"/>
                <w:szCs w:val="28"/>
              </w:rPr>
              <w:t xml:space="preserve"> </w:t>
            </w:r>
            <w:r w:rsidRPr="00A45B78">
              <w:rPr>
                <w:rFonts w:ascii="Times New Roman" w:eastAsiaTheme="majorEastAsia" w:hAnsi="Times New Roman" w:cs="Times New Roman"/>
                <w:sz w:val="28"/>
                <w:szCs w:val="28"/>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світлові покажчики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A45B78" w:rsidRDefault="00A45B78" w:rsidP="00AD7543">
            <w:pPr>
              <w:widowControl w:val="0"/>
              <w:suppressAutoHyphens/>
              <w:spacing w:before="120" w:after="240" w:line="256" w:lineRule="auto"/>
              <w:ind w:left="851"/>
              <w:jc w:val="both"/>
              <w:outlineLvl w:val="3"/>
              <w:rPr>
                <w:rFonts w:ascii="Times New Roman" w:eastAsiaTheme="majorEastAsia" w:hAnsi="Times New Roman" w:cs="Times New Roman"/>
                <w:sz w:val="28"/>
                <w:szCs w:val="28"/>
              </w:rPr>
            </w:pPr>
          </w:p>
        </w:tc>
      </w:tr>
      <w:tr w:rsidR="00840E4C" w:rsidTr="00807FEF">
        <w:tc>
          <w:tcPr>
            <w:tcW w:w="4814" w:type="dxa"/>
          </w:tcPr>
          <w:p w:rsidR="00840E4C" w:rsidRPr="00840E4C" w:rsidRDefault="00840E4C" w:rsidP="00860CD7">
            <w:pPr>
              <w:widowControl w:val="0"/>
              <w:suppressAutoHyphens/>
              <w:spacing w:before="120" w:after="240"/>
              <w:ind w:left="22"/>
              <w:jc w:val="both"/>
              <w:outlineLvl w:val="3"/>
              <w:rPr>
                <w:rFonts w:ascii="Times New Roman" w:eastAsia="Times New Roman" w:hAnsi="Times New Roman" w:cs="Times New Roman"/>
                <w:i/>
                <w:sz w:val="28"/>
                <w:szCs w:val="28"/>
              </w:rPr>
            </w:pPr>
            <w:r>
              <w:rPr>
                <w:rFonts w:ascii="Times New Roman" w:eastAsia="Times New Roman" w:hAnsi="Times New Roman" w:cs="Times New Roman"/>
                <w:sz w:val="28"/>
                <w:szCs w:val="28"/>
              </w:rPr>
              <w:t>3.5.5</w:t>
            </w:r>
            <w:r w:rsidR="00860CD7">
              <w:rPr>
                <w:rFonts w:ascii="Times New Roman" w:eastAsia="Times New Roman" w:hAnsi="Times New Roman" w:cs="Times New Roman"/>
                <w:sz w:val="28"/>
                <w:szCs w:val="28"/>
              </w:rPr>
              <w:t xml:space="preserve"> </w:t>
            </w:r>
            <w:r w:rsidRPr="00840E4C">
              <w:rPr>
                <w:rFonts w:ascii="Times New Roman" w:eastAsia="Times New Roman" w:hAnsi="Times New Roman" w:cs="Times New Roman"/>
                <w:sz w:val="28"/>
                <w:szCs w:val="28"/>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 за умови погодження з відділом містобудування та архітектури виконавчого комітету Вараської міської ради</w:t>
            </w:r>
            <w:r w:rsidRPr="00840E4C">
              <w:rPr>
                <w:rFonts w:ascii="Times New Roman" w:eastAsia="Times New Roman" w:hAnsi="Times New Roman" w:cs="Times New Roman"/>
                <w:iCs/>
                <w:sz w:val="28"/>
              </w:rPr>
              <w:t>.</w:t>
            </w:r>
          </w:p>
          <w:p w:rsidR="00840E4C" w:rsidRDefault="00840E4C" w:rsidP="00840E4C"/>
        </w:tc>
        <w:tc>
          <w:tcPr>
            <w:tcW w:w="4815" w:type="dxa"/>
          </w:tcPr>
          <w:p w:rsidR="00076967" w:rsidRPr="00076967" w:rsidRDefault="00AD7543" w:rsidP="00860CD7">
            <w:pPr>
              <w:widowControl w:val="0"/>
              <w:suppressAutoHyphens/>
              <w:spacing w:before="120" w:after="240" w:line="256" w:lineRule="auto"/>
              <w:ind w:left="43"/>
              <w:jc w:val="both"/>
              <w:outlineLvl w:val="3"/>
              <w:rPr>
                <w:rFonts w:ascii="Times New Roman" w:eastAsiaTheme="majorEastAsia" w:hAnsi="Times New Roman" w:cs="Times New Roman"/>
                <w:i/>
                <w:sz w:val="28"/>
                <w:szCs w:val="28"/>
              </w:rPr>
            </w:pPr>
            <w:r>
              <w:rPr>
                <w:rFonts w:ascii="Times New Roman" w:eastAsiaTheme="majorEastAsia" w:hAnsi="Times New Roman" w:cs="Times New Roman"/>
                <w:sz w:val="28"/>
                <w:szCs w:val="28"/>
              </w:rPr>
              <w:t>3.5.5</w:t>
            </w:r>
            <w:r w:rsidR="00860CD7">
              <w:rPr>
                <w:rFonts w:ascii="Times New Roman" w:eastAsiaTheme="majorEastAsia" w:hAnsi="Times New Roman" w:cs="Times New Roman"/>
                <w:sz w:val="28"/>
                <w:szCs w:val="28"/>
              </w:rPr>
              <w:t xml:space="preserve"> </w:t>
            </w:r>
            <w:r w:rsidR="00076967" w:rsidRPr="00076967">
              <w:rPr>
                <w:rFonts w:ascii="Times New Roman" w:eastAsiaTheme="majorEastAsia" w:hAnsi="Times New Roman" w:cs="Times New Roman"/>
                <w:sz w:val="28"/>
                <w:szCs w:val="28"/>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r w:rsidR="00076967" w:rsidRPr="00076967">
              <w:rPr>
                <w:rFonts w:ascii="Times New Roman" w:eastAsiaTheme="majorEastAsia" w:hAnsi="Times New Roman" w:cs="Times New Roman"/>
                <w:iCs/>
                <w:sz w:val="28"/>
                <w:szCs w:val="28"/>
              </w:rPr>
              <w:t>.</w:t>
            </w:r>
          </w:p>
          <w:p w:rsidR="00840E4C" w:rsidRDefault="00840E4C">
            <w:pPr>
              <w:rPr>
                <w:rFonts w:ascii="Times New Roman" w:hAnsi="Times New Roman" w:cs="Times New Roman"/>
                <w:sz w:val="28"/>
                <w:szCs w:val="28"/>
              </w:rPr>
            </w:pPr>
          </w:p>
        </w:tc>
      </w:tr>
      <w:tr w:rsidR="00807FEF" w:rsidTr="00807FEF">
        <w:tc>
          <w:tcPr>
            <w:tcW w:w="4814" w:type="dxa"/>
          </w:tcPr>
          <w:p w:rsidR="002D53FB" w:rsidRPr="00C74F2E" w:rsidRDefault="002D53FB" w:rsidP="00860CD7">
            <w:pPr>
              <w:pStyle w:val="2"/>
              <w:outlineLvl w:val="1"/>
            </w:pPr>
            <w:r>
              <w:t>3.6</w:t>
            </w:r>
            <w:r w:rsidR="00860CD7">
              <w:t xml:space="preserve"> </w:t>
            </w:r>
            <w:r w:rsidRPr="00C74F2E">
              <w:t xml:space="preserve">Підприємства, установи, організації, інші юридичні та фізичні особи на власних та закріплених за ними територіях під час проектування, будівництва, реконструкції об’єктів благоустрою повинні створювати умови для безперешкодного доступу осіб з інвалідністю (у тому числі, осіб з інвалідністю які використовують засоби пересування та собак-поводирів) та інших маломобільних груп населення згідно Закону України «Про основи соціальної захищеності осіб з інвалідністю в Україні» та ДБН </w:t>
            </w:r>
            <w:r w:rsidRPr="00C74F2E">
              <w:lastRenderedPageBreak/>
              <w:t>В.2.2-40:2018 «</w:t>
            </w:r>
            <w:proofErr w:type="spellStart"/>
            <w:r w:rsidRPr="00C74F2E">
              <w:t>Інклюзивність</w:t>
            </w:r>
            <w:proofErr w:type="spellEnd"/>
            <w:r w:rsidRPr="00C74F2E">
              <w:t xml:space="preserve"> будівель і споруд».</w:t>
            </w:r>
          </w:p>
          <w:p w:rsidR="00807FEF" w:rsidRDefault="00807FEF"/>
        </w:tc>
        <w:tc>
          <w:tcPr>
            <w:tcW w:w="4815" w:type="dxa"/>
          </w:tcPr>
          <w:p w:rsidR="00807FEF" w:rsidRPr="00346E36" w:rsidRDefault="00346E36">
            <w:pPr>
              <w:rPr>
                <w:rFonts w:ascii="Times New Roman" w:hAnsi="Times New Roman" w:cs="Times New Roman"/>
                <w:sz w:val="28"/>
                <w:szCs w:val="28"/>
              </w:rPr>
            </w:pPr>
            <w:r>
              <w:rPr>
                <w:rFonts w:ascii="Times New Roman" w:hAnsi="Times New Roman" w:cs="Times New Roman"/>
                <w:sz w:val="28"/>
                <w:szCs w:val="28"/>
              </w:rPr>
              <w:lastRenderedPageBreak/>
              <w:t>Відсутній</w:t>
            </w:r>
          </w:p>
        </w:tc>
      </w:tr>
      <w:tr w:rsidR="00807FEF" w:rsidTr="00807FEF">
        <w:tc>
          <w:tcPr>
            <w:tcW w:w="4814" w:type="dxa"/>
          </w:tcPr>
          <w:p w:rsidR="002D53FB" w:rsidRPr="00C74F2E" w:rsidRDefault="002D53FB" w:rsidP="00860CD7">
            <w:pPr>
              <w:pStyle w:val="2"/>
              <w:outlineLvl w:val="1"/>
            </w:pPr>
            <w:r>
              <w:lastRenderedPageBreak/>
              <w:t>3.7</w:t>
            </w:r>
            <w:r w:rsidR="00557AF1">
              <w:t xml:space="preserve"> </w:t>
            </w:r>
            <w:r w:rsidRPr="00C74F2E">
              <w:t xml:space="preserve">Існуючі об’єкти житлово-комунального та громадського призначення, транспортної інфраструктури, </w:t>
            </w:r>
            <w:proofErr w:type="spellStart"/>
            <w:r w:rsidRPr="00C74F2E">
              <w:t>вулично</w:t>
            </w:r>
            <w:proofErr w:type="spellEnd"/>
            <w:r w:rsidRPr="00C74F2E">
              <w:t>-дорожньої мережі та елементів благоустрою, що не пристосовані для маломобільних груп населення, треба обладнувати спеціальними і допоміжними засобами, зокрема наочно-інформаційними, а пішохідні переходи – пониженими бордюрами, спеціальними звуковими світлофорами та напрямними огорожами.</w:t>
            </w:r>
          </w:p>
          <w:p w:rsidR="00807FEF" w:rsidRDefault="00807FEF"/>
        </w:tc>
        <w:tc>
          <w:tcPr>
            <w:tcW w:w="4815" w:type="dxa"/>
          </w:tcPr>
          <w:p w:rsidR="00807FEF" w:rsidRPr="00346E36" w:rsidRDefault="00346E36">
            <w:pPr>
              <w:rPr>
                <w:rFonts w:ascii="Times New Roman" w:hAnsi="Times New Roman" w:cs="Times New Roman"/>
                <w:sz w:val="28"/>
                <w:szCs w:val="28"/>
              </w:rPr>
            </w:pPr>
            <w:r>
              <w:rPr>
                <w:rFonts w:ascii="Times New Roman" w:hAnsi="Times New Roman" w:cs="Times New Roman"/>
                <w:sz w:val="28"/>
                <w:szCs w:val="28"/>
              </w:rPr>
              <w:t>Відсутній</w:t>
            </w:r>
          </w:p>
        </w:tc>
      </w:tr>
      <w:tr w:rsidR="00807FEF" w:rsidTr="00807FEF">
        <w:tc>
          <w:tcPr>
            <w:tcW w:w="4814" w:type="dxa"/>
          </w:tcPr>
          <w:p w:rsidR="002D53FB" w:rsidRPr="00C74F2E" w:rsidRDefault="006F77D0" w:rsidP="00860CD7">
            <w:pPr>
              <w:pStyle w:val="2"/>
              <w:outlineLvl w:val="1"/>
            </w:pPr>
            <w:r>
              <w:t>3.8</w:t>
            </w:r>
            <w:r w:rsidR="00860CD7">
              <w:t xml:space="preserve"> </w:t>
            </w:r>
            <w:r w:rsidR="002D53FB" w:rsidRPr="00C74F2E">
              <w:t>При проектуванні, будівництві нових та реконструкції, реставрації, капітальному ремонті та переоснащенні існуючих житлових будинків та громадських будівель і споруд повинні виконуватися вимоги чинних будівельних норм та стандартів.</w:t>
            </w:r>
          </w:p>
          <w:p w:rsidR="00807FEF" w:rsidRDefault="00807FEF"/>
        </w:tc>
        <w:tc>
          <w:tcPr>
            <w:tcW w:w="4815" w:type="dxa"/>
          </w:tcPr>
          <w:p w:rsidR="00807FEF" w:rsidRPr="00346E36" w:rsidRDefault="00346E36">
            <w:pPr>
              <w:rPr>
                <w:rFonts w:ascii="Times New Roman" w:hAnsi="Times New Roman" w:cs="Times New Roman"/>
                <w:sz w:val="28"/>
                <w:szCs w:val="28"/>
              </w:rPr>
            </w:pPr>
            <w:r>
              <w:rPr>
                <w:rFonts w:ascii="Times New Roman" w:hAnsi="Times New Roman" w:cs="Times New Roman"/>
                <w:sz w:val="28"/>
                <w:szCs w:val="28"/>
              </w:rPr>
              <w:t>Відсутній</w:t>
            </w:r>
          </w:p>
        </w:tc>
      </w:tr>
      <w:tr w:rsidR="00807FEF" w:rsidTr="00807FEF">
        <w:tc>
          <w:tcPr>
            <w:tcW w:w="4814" w:type="dxa"/>
          </w:tcPr>
          <w:p w:rsidR="00451F9B" w:rsidRPr="00451F9B" w:rsidRDefault="00451F9B" w:rsidP="00451F9B">
            <w:pPr>
              <w:widowControl w:val="0"/>
              <w:suppressAutoHyphens/>
              <w:spacing w:before="120"/>
              <w:jc w:val="both"/>
              <w:outlineLvl w:val="1"/>
              <w:rPr>
                <w:rFonts w:ascii="Times New Roman" w:eastAsia="Times New Roman" w:hAnsi="Times New Roman" w:cs="Times New Roman"/>
                <w:sz w:val="28"/>
                <w:szCs w:val="26"/>
              </w:rPr>
            </w:pPr>
            <w:r>
              <w:rPr>
                <w:rFonts w:ascii="Times New Roman" w:eastAsia="Times New Roman" w:hAnsi="Times New Roman" w:cs="Times New Roman"/>
                <w:sz w:val="28"/>
                <w:szCs w:val="26"/>
              </w:rPr>
              <w:t>5.15</w:t>
            </w:r>
            <w:r w:rsidR="00860CD7">
              <w:rPr>
                <w:rFonts w:ascii="Times New Roman" w:eastAsia="Times New Roman" w:hAnsi="Times New Roman" w:cs="Times New Roman"/>
                <w:sz w:val="28"/>
                <w:szCs w:val="26"/>
              </w:rPr>
              <w:t xml:space="preserve"> </w:t>
            </w:r>
            <w:r w:rsidRPr="00451F9B">
              <w:rPr>
                <w:rFonts w:ascii="Times New Roman" w:eastAsia="Times New Roman" w:hAnsi="Times New Roman" w:cs="Times New Roman"/>
                <w:sz w:val="28"/>
                <w:szCs w:val="26"/>
              </w:rPr>
              <w:t>На озеленених територіях забороняється:</w:t>
            </w:r>
          </w:p>
          <w:p w:rsidR="00451F9B" w:rsidRPr="00451F9B" w:rsidRDefault="00451F9B" w:rsidP="00860CD7">
            <w:pPr>
              <w:widowControl w:val="0"/>
              <w:numPr>
                <w:ilvl w:val="2"/>
                <w:numId w:val="0"/>
              </w:numPr>
              <w:suppressAutoHyphens/>
              <w:ind w:left="22"/>
              <w:jc w:val="both"/>
              <w:outlineLvl w:val="2"/>
              <w:rPr>
                <w:rFonts w:ascii="Times New Roman" w:eastAsia="Times New Roman" w:hAnsi="Times New Roman" w:cs="Times New Roman"/>
                <w:sz w:val="28"/>
                <w:szCs w:val="24"/>
              </w:rPr>
            </w:pPr>
            <w:r w:rsidRPr="00451F9B">
              <w:rPr>
                <w:rFonts w:ascii="Times New Roman" w:eastAsia="Times New Roman" w:hAnsi="Times New Roman" w:cs="Times New Roman"/>
                <w:sz w:val="28"/>
                <w:szCs w:val="24"/>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 розміщення реклами у будь якому вигляді;</w:t>
            </w:r>
          </w:p>
          <w:p w:rsidR="00807FEF" w:rsidRDefault="00807FEF"/>
        </w:tc>
        <w:tc>
          <w:tcPr>
            <w:tcW w:w="4815" w:type="dxa"/>
          </w:tcPr>
          <w:p w:rsidR="00451F9B" w:rsidRPr="00451F9B" w:rsidRDefault="00451F9B" w:rsidP="00860CD7">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5.15</w:t>
            </w:r>
            <w:r w:rsidR="00860CD7">
              <w:rPr>
                <w:rFonts w:ascii="Times New Roman" w:eastAsiaTheme="majorEastAsia" w:hAnsi="Times New Roman" w:cs="Times New Roman"/>
                <w:sz w:val="28"/>
                <w:szCs w:val="28"/>
              </w:rPr>
              <w:t xml:space="preserve"> </w:t>
            </w:r>
            <w:r w:rsidRPr="00451F9B">
              <w:rPr>
                <w:rFonts w:ascii="Times New Roman" w:eastAsiaTheme="majorEastAsia" w:hAnsi="Times New Roman" w:cs="Times New Roman"/>
                <w:sz w:val="28"/>
                <w:szCs w:val="28"/>
              </w:rPr>
              <w:t>На озеленених територіях забороняється:</w:t>
            </w:r>
          </w:p>
          <w:p w:rsidR="00451F9B" w:rsidRPr="00451F9B" w:rsidRDefault="00451F9B" w:rsidP="00860CD7">
            <w:pPr>
              <w:widowControl w:val="0"/>
              <w:numPr>
                <w:ilvl w:val="2"/>
                <w:numId w:val="0"/>
              </w:numPr>
              <w:suppressAutoHyphens/>
              <w:ind w:left="43" w:hanging="1"/>
              <w:jc w:val="both"/>
              <w:outlineLvl w:val="2"/>
              <w:rPr>
                <w:rFonts w:ascii="Times New Roman" w:eastAsiaTheme="majorEastAsia" w:hAnsi="Times New Roman" w:cs="Times New Roman"/>
                <w:sz w:val="28"/>
                <w:szCs w:val="28"/>
              </w:rPr>
            </w:pPr>
            <w:r w:rsidRPr="00451F9B">
              <w:rPr>
                <w:rFonts w:ascii="Times New Roman" w:eastAsiaTheme="majorEastAsia" w:hAnsi="Times New Roman" w:cs="Times New Roman"/>
                <w:sz w:val="28"/>
                <w:szCs w:val="28"/>
              </w:rPr>
              <w:t>підвішувати на деревах гамаки, гойдалки, мотузки для сушіння білизни, електропроводи та інше, якщо вони можуть пошкодити дерево, розміщувати рекламу у будь якому вигляді;</w:t>
            </w:r>
          </w:p>
          <w:p w:rsidR="00807FEF" w:rsidRDefault="00807FEF"/>
        </w:tc>
      </w:tr>
      <w:tr w:rsidR="00807FEF" w:rsidTr="00807FEF">
        <w:trPr>
          <w:trHeight w:val="70"/>
        </w:trPr>
        <w:tc>
          <w:tcPr>
            <w:tcW w:w="4814" w:type="dxa"/>
          </w:tcPr>
          <w:p w:rsidR="004F1B2F" w:rsidRPr="00C74F2E" w:rsidRDefault="004F1B2F" w:rsidP="00860CD7">
            <w:pPr>
              <w:pStyle w:val="2"/>
              <w:outlineLvl w:val="1"/>
            </w:pPr>
            <w:r>
              <w:t>13.1</w:t>
            </w:r>
            <w:r w:rsidR="00860CD7">
              <w:t xml:space="preserve"> </w:t>
            </w:r>
            <w:r w:rsidRPr="00C74F2E">
              <w:t xml:space="preserve">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w:t>
            </w:r>
            <w:r w:rsidRPr="00C74F2E">
              <w:lastRenderedPageBreak/>
              <w:t>користування ними та охорони,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807FEF" w:rsidRDefault="00807FEF"/>
        </w:tc>
        <w:tc>
          <w:tcPr>
            <w:tcW w:w="4815" w:type="dxa"/>
          </w:tcPr>
          <w:p w:rsidR="004F1B2F" w:rsidRPr="004F1B2F" w:rsidRDefault="004F1B2F" w:rsidP="00860CD7">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13.1</w:t>
            </w:r>
            <w:r w:rsidR="00860CD7">
              <w:rPr>
                <w:rFonts w:ascii="Times New Roman" w:eastAsiaTheme="majorEastAsia" w:hAnsi="Times New Roman" w:cs="Times New Roman"/>
                <w:sz w:val="28"/>
                <w:szCs w:val="28"/>
              </w:rPr>
              <w:t xml:space="preserve"> </w:t>
            </w:r>
            <w:r w:rsidRPr="004F1B2F">
              <w:rPr>
                <w:rFonts w:ascii="Times New Roman" w:eastAsiaTheme="majorEastAsia" w:hAnsi="Times New Roman" w:cs="Times New Roman"/>
                <w:sz w:val="28"/>
                <w:szCs w:val="28"/>
              </w:rPr>
              <w:t xml:space="preserve">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w:t>
            </w:r>
            <w:r w:rsidRPr="004F1B2F">
              <w:rPr>
                <w:rFonts w:ascii="Times New Roman" w:eastAsiaTheme="majorEastAsia" w:hAnsi="Times New Roman" w:cs="Times New Roman"/>
                <w:sz w:val="28"/>
                <w:szCs w:val="28"/>
              </w:rPr>
              <w:lastRenderedPageBreak/>
              <w:t>користування ними та охорони, затверджених постановою Кабінету Міністрів України від 30 березня 1994 року № 198, та ДБН Б.2.2-5:2011 «Благоустрій територій. Зміна №1».</w:t>
            </w:r>
          </w:p>
          <w:p w:rsidR="00807FEF" w:rsidRDefault="00807FEF"/>
        </w:tc>
      </w:tr>
      <w:tr w:rsidR="004F1B2F" w:rsidTr="00807FEF">
        <w:trPr>
          <w:trHeight w:val="70"/>
        </w:trPr>
        <w:tc>
          <w:tcPr>
            <w:tcW w:w="4814" w:type="dxa"/>
          </w:tcPr>
          <w:p w:rsidR="004F1B2F" w:rsidRPr="004F1B2F" w:rsidRDefault="004F1B2F" w:rsidP="00860CD7">
            <w:pPr>
              <w:widowControl w:val="0"/>
              <w:suppressAutoHyphens/>
              <w:spacing w:before="120"/>
              <w:ind w:left="22"/>
              <w:jc w:val="both"/>
              <w:outlineLvl w:val="1"/>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13.17</w:t>
            </w:r>
            <w:r w:rsidR="00860CD7">
              <w:rPr>
                <w:rFonts w:ascii="Times New Roman" w:eastAsia="Times New Roman" w:hAnsi="Times New Roman" w:cs="Times New Roman"/>
                <w:sz w:val="28"/>
                <w:szCs w:val="26"/>
              </w:rPr>
              <w:t xml:space="preserve"> </w:t>
            </w:r>
            <w:r w:rsidRPr="004F1B2F">
              <w:rPr>
                <w:rFonts w:ascii="Times New Roman" w:eastAsia="Times New Roman" w:hAnsi="Times New Roman" w:cs="Times New Roman"/>
                <w:sz w:val="28"/>
                <w:szCs w:val="26"/>
              </w:rPr>
              <w:t>Забороняється:</w:t>
            </w:r>
          </w:p>
          <w:p w:rsidR="004F1B2F" w:rsidRPr="004F1B2F" w:rsidRDefault="004F1B2F" w:rsidP="00860CD7">
            <w:pPr>
              <w:widowControl w:val="0"/>
              <w:numPr>
                <w:ilvl w:val="2"/>
                <w:numId w:val="0"/>
              </w:numPr>
              <w:suppressAutoHyphens/>
              <w:ind w:left="22"/>
              <w:jc w:val="both"/>
              <w:outlineLvl w:val="2"/>
              <w:rPr>
                <w:rFonts w:ascii="Times New Roman" w:eastAsia="Times New Roman" w:hAnsi="Times New Roman" w:cs="Times New Roman"/>
                <w:sz w:val="28"/>
                <w:szCs w:val="24"/>
              </w:rPr>
            </w:pPr>
            <w:r w:rsidRPr="004F1B2F">
              <w:rPr>
                <w:rFonts w:ascii="Times New Roman" w:eastAsia="Times New Roman" w:hAnsi="Times New Roman" w:cs="Times New Roman"/>
                <w:sz w:val="28"/>
                <w:szCs w:val="24"/>
              </w:rPr>
              <w:t>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 виданого у встановленому порядку.</w:t>
            </w:r>
          </w:p>
          <w:p w:rsidR="004F1B2F" w:rsidRPr="004F1B2F" w:rsidRDefault="004F1B2F" w:rsidP="004F1B2F">
            <w:pPr>
              <w:widowControl w:val="0"/>
              <w:suppressAutoHyphens/>
              <w:rPr>
                <w:rFonts w:ascii="Calibri" w:eastAsia="Calibri" w:hAnsi="Calibri" w:cs="Times New Roman"/>
              </w:rPr>
            </w:pPr>
          </w:p>
          <w:p w:rsidR="004F1B2F" w:rsidRDefault="004F1B2F" w:rsidP="00860CD7">
            <w:pPr>
              <w:pStyle w:val="2"/>
              <w:outlineLvl w:val="1"/>
            </w:pPr>
          </w:p>
        </w:tc>
        <w:tc>
          <w:tcPr>
            <w:tcW w:w="4815" w:type="dxa"/>
          </w:tcPr>
          <w:p w:rsidR="004F1B2F" w:rsidRPr="004F1B2F" w:rsidRDefault="004F1B2F" w:rsidP="00557AF1">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13.17</w:t>
            </w:r>
            <w:r w:rsidR="00860CD7">
              <w:rPr>
                <w:rFonts w:ascii="Times New Roman" w:eastAsiaTheme="majorEastAsia" w:hAnsi="Times New Roman" w:cs="Times New Roman"/>
                <w:sz w:val="28"/>
                <w:szCs w:val="28"/>
              </w:rPr>
              <w:t xml:space="preserve"> </w:t>
            </w:r>
            <w:r w:rsidRPr="004F1B2F">
              <w:rPr>
                <w:rFonts w:ascii="Times New Roman" w:eastAsiaTheme="majorEastAsia" w:hAnsi="Times New Roman" w:cs="Times New Roman"/>
                <w:sz w:val="28"/>
                <w:szCs w:val="28"/>
              </w:rPr>
              <w:t>Забороняється:</w:t>
            </w:r>
          </w:p>
          <w:p w:rsidR="004F1B2F" w:rsidRPr="004F1B2F" w:rsidRDefault="004F1B2F" w:rsidP="00557AF1">
            <w:pPr>
              <w:widowControl w:val="0"/>
              <w:numPr>
                <w:ilvl w:val="2"/>
                <w:numId w:val="0"/>
              </w:numPr>
              <w:suppressAutoHyphens/>
              <w:ind w:left="43" w:hanging="43"/>
              <w:jc w:val="both"/>
              <w:outlineLvl w:val="2"/>
              <w:rPr>
                <w:rFonts w:ascii="Times New Roman" w:eastAsiaTheme="majorEastAsia" w:hAnsi="Times New Roman" w:cs="Times New Roman"/>
                <w:sz w:val="28"/>
                <w:szCs w:val="28"/>
              </w:rPr>
            </w:pPr>
            <w:r w:rsidRPr="004F1B2F">
              <w:rPr>
                <w:rFonts w:ascii="Times New Roman" w:eastAsiaTheme="majorEastAsia" w:hAnsi="Times New Roman" w:cs="Times New Roman"/>
                <w:sz w:val="28"/>
                <w:szCs w:val="28"/>
              </w:rPr>
              <w:t>самовільно встановлювати точки торгівлі з лотків, автомобілів, причепів, столиків, візків у не відведених для цього місцях.</w:t>
            </w:r>
          </w:p>
          <w:p w:rsidR="004F1B2F" w:rsidRPr="004F1B2F" w:rsidRDefault="004F1B2F" w:rsidP="004F1B2F">
            <w:pPr>
              <w:widowControl w:val="0"/>
              <w:suppressAutoHyphens/>
              <w:spacing w:line="256" w:lineRule="auto"/>
              <w:rPr>
                <w:rFonts w:ascii="Times New Roman" w:hAnsi="Times New Roman" w:cs="Times New Roman"/>
                <w:sz w:val="28"/>
                <w:szCs w:val="28"/>
              </w:rPr>
            </w:pPr>
          </w:p>
          <w:p w:rsidR="004F1B2F" w:rsidRDefault="004F1B2F" w:rsidP="004F1B2F">
            <w:pPr>
              <w:widowControl w:val="0"/>
              <w:suppressAutoHyphens/>
              <w:spacing w:before="120"/>
              <w:ind w:left="567"/>
              <w:jc w:val="both"/>
              <w:outlineLvl w:val="1"/>
              <w:rPr>
                <w:rFonts w:ascii="Times New Roman" w:eastAsiaTheme="majorEastAsia" w:hAnsi="Times New Roman" w:cs="Times New Roman"/>
                <w:sz w:val="28"/>
                <w:szCs w:val="28"/>
              </w:rPr>
            </w:pPr>
          </w:p>
        </w:tc>
      </w:tr>
      <w:tr w:rsidR="00CC4755" w:rsidTr="00807FEF">
        <w:trPr>
          <w:trHeight w:val="70"/>
        </w:trPr>
        <w:tc>
          <w:tcPr>
            <w:tcW w:w="4814" w:type="dxa"/>
          </w:tcPr>
          <w:p w:rsidR="00CC4755" w:rsidRPr="00C74F2E" w:rsidRDefault="00CC4755" w:rsidP="00557AF1">
            <w:pPr>
              <w:pStyle w:val="1"/>
              <w:outlineLvl w:val="0"/>
            </w:pPr>
            <w:bookmarkStart w:id="1" w:name="_Toc108187423"/>
            <w:r>
              <w:t>14</w:t>
            </w:r>
            <w:r w:rsidR="00FC252E">
              <w:t xml:space="preserve">  </w:t>
            </w:r>
            <w:r w:rsidRPr="00C74F2E">
              <w:t>ОБМЕЖЕННЯ ЩОДО ВЖИВАННЯ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bookmarkEnd w:id="1"/>
          </w:p>
          <w:p w:rsidR="00CC4755" w:rsidRDefault="00CC4755" w:rsidP="004F1B2F">
            <w:pPr>
              <w:widowControl w:val="0"/>
              <w:suppressAutoHyphens/>
              <w:spacing w:before="120"/>
              <w:ind w:left="567"/>
              <w:jc w:val="both"/>
              <w:outlineLvl w:val="1"/>
              <w:rPr>
                <w:rFonts w:ascii="Times New Roman" w:eastAsia="Times New Roman" w:hAnsi="Times New Roman" w:cs="Times New Roman"/>
                <w:sz w:val="28"/>
                <w:szCs w:val="26"/>
              </w:rPr>
            </w:pPr>
          </w:p>
        </w:tc>
        <w:tc>
          <w:tcPr>
            <w:tcW w:w="4815" w:type="dxa"/>
          </w:tcPr>
          <w:p w:rsidR="00CC4755" w:rsidRDefault="00CC4755" w:rsidP="00557AF1">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Відсутній</w:t>
            </w:r>
          </w:p>
        </w:tc>
      </w:tr>
      <w:tr w:rsidR="00460B8B" w:rsidTr="00807FEF">
        <w:trPr>
          <w:trHeight w:val="70"/>
        </w:trPr>
        <w:tc>
          <w:tcPr>
            <w:tcW w:w="4814" w:type="dxa"/>
          </w:tcPr>
          <w:p w:rsidR="00460B8B" w:rsidRPr="00C74F2E" w:rsidRDefault="00460B8B" w:rsidP="00557AF1">
            <w:pPr>
              <w:pStyle w:val="1"/>
              <w:outlineLvl w:val="0"/>
            </w:pPr>
            <w:bookmarkStart w:id="2" w:name="_Toc108187426"/>
            <w:r>
              <w:t>17</w:t>
            </w:r>
            <w:r w:rsidR="00FC252E">
              <w:t xml:space="preserve"> </w:t>
            </w:r>
            <w:r w:rsidRPr="00C74F2E">
              <w:t>ВІДПОВІДАЛЬНІСТЬ ЗА ПОРУШЕННЯ ПРАВИЛ БЛАГОУСТРОЮ ТЕРИТОРІЇ ВАРАСЬКОЇ МТГ</w:t>
            </w:r>
            <w:bookmarkEnd w:id="2"/>
          </w:p>
          <w:p w:rsidR="00460B8B" w:rsidRDefault="00460B8B" w:rsidP="00557AF1">
            <w:pPr>
              <w:pStyle w:val="1"/>
              <w:outlineLvl w:val="0"/>
            </w:pPr>
          </w:p>
        </w:tc>
        <w:tc>
          <w:tcPr>
            <w:tcW w:w="4815" w:type="dxa"/>
          </w:tcPr>
          <w:p w:rsidR="00460B8B" w:rsidRDefault="00460B8B" w:rsidP="00557AF1">
            <w:pPr>
              <w:widowControl w:val="0"/>
              <w:suppressAutoHyphens/>
              <w:spacing w:before="120"/>
              <w:ind w:left="43"/>
              <w:jc w:val="both"/>
              <w:outlineLvl w:val="1"/>
              <w:rPr>
                <w:rFonts w:ascii="Times New Roman" w:eastAsiaTheme="majorEastAsia" w:hAnsi="Times New Roman" w:cs="Times New Roman"/>
                <w:sz w:val="28"/>
                <w:szCs w:val="28"/>
              </w:rPr>
            </w:pPr>
            <w:r>
              <w:rPr>
                <w:rFonts w:ascii="Times New Roman" w:eastAsiaTheme="majorEastAsia" w:hAnsi="Times New Roman" w:cs="Times New Roman"/>
                <w:sz w:val="28"/>
                <w:szCs w:val="28"/>
              </w:rPr>
              <w:t>Відсутній</w:t>
            </w:r>
          </w:p>
        </w:tc>
      </w:tr>
    </w:tbl>
    <w:p w:rsidR="00F90C52" w:rsidRDefault="00F90C52"/>
    <w:sectPr w:rsidR="00F90C52">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B4" w:rsidRDefault="00351EB4" w:rsidP="00FA0F3D">
      <w:pPr>
        <w:spacing w:after="0" w:line="240" w:lineRule="auto"/>
      </w:pPr>
      <w:r>
        <w:separator/>
      </w:r>
    </w:p>
  </w:endnote>
  <w:endnote w:type="continuationSeparator" w:id="0">
    <w:p w:rsidR="00351EB4" w:rsidRDefault="00351EB4" w:rsidP="00FA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B4" w:rsidRDefault="00351EB4" w:rsidP="00FA0F3D">
      <w:pPr>
        <w:spacing w:after="0" w:line="240" w:lineRule="auto"/>
      </w:pPr>
      <w:r>
        <w:separator/>
      </w:r>
    </w:p>
  </w:footnote>
  <w:footnote w:type="continuationSeparator" w:id="0">
    <w:p w:rsidR="00351EB4" w:rsidRDefault="00351EB4" w:rsidP="00FA0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3D" w:rsidRPr="00FA0F3D" w:rsidRDefault="00FA0F3D" w:rsidP="00FA0F3D">
    <w:pPr>
      <w:pStyle w:val="a5"/>
      <w:jc w:val="center"/>
      <w:rPr>
        <w:rFonts w:ascii="Times New Roman" w:hAnsi="Times New Roman" w:cs="Times New Roman"/>
        <w:sz w:val="28"/>
        <w:szCs w:val="28"/>
      </w:rPr>
    </w:pPr>
    <w:r w:rsidRPr="00FA0F3D">
      <w:rPr>
        <w:rFonts w:ascii="Times New Roman" w:hAnsi="Times New Roman" w:cs="Times New Roman"/>
        <w:sz w:val="28"/>
        <w:szCs w:val="28"/>
      </w:rPr>
      <w:t>Порівняльна таблиця</w:t>
    </w:r>
  </w:p>
  <w:p w:rsidR="00FA0F3D" w:rsidRPr="00FA0F3D" w:rsidRDefault="00FA0F3D" w:rsidP="00FA0F3D">
    <w:pPr>
      <w:pStyle w:val="a5"/>
      <w:jc w:val="center"/>
      <w:rPr>
        <w:rFonts w:ascii="Times New Roman" w:hAnsi="Times New Roman" w:cs="Times New Roman"/>
        <w:sz w:val="28"/>
        <w:szCs w:val="28"/>
      </w:rPr>
    </w:pPr>
    <w:r w:rsidRPr="00FA0F3D">
      <w:rPr>
        <w:rFonts w:ascii="Times New Roman" w:hAnsi="Times New Roman" w:cs="Times New Roman"/>
        <w:sz w:val="28"/>
        <w:szCs w:val="28"/>
      </w:rPr>
      <w:t xml:space="preserve">до </w:t>
    </w:r>
    <w:proofErr w:type="spellStart"/>
    <w:r w:rsidRPr="00FA0F3D">
      <w:rPr>
        <w:rFonts w:ascii="Times New Roman" w:hAnsi="Times New Roman" w:cs="Times New Roman"/>
        <w:sz w:val="28"/>
        <w:szCs w:val="28"/>
      </w:rPr>
      <w:t>проєкту</w:t>
    </w:r>
    <w:proofErr w:type="spellEnd"/>
    <w:r w:rsidRPr="00FA0F3D">
      <w:rPr>
        <w:rFonts w:ascii="Times New Roman" w:hAnsi="Times New Roman" w:cs="Times New Roman"/>
        <w:sz w:val="28"/>
        <w:szCs w:val="28"/>
      </w:rPr>
      <w:t xml:space="preserve"> рішення від 17.11.2022року №2095-ПРР-</w:t>
    </w:r>
    <w:r w:rsidRPr="00FA0F3D">
      <w:rPr>
        <w:rFonts w:ascii="Times New Roman" w:hAnsi="Times New Roman" w:cs="Times New Roman"/>
        <w:sz w:val="28"/>
        <w:szCs w:val="28"/>
        <w:lang w:val="en-US"/>
      </w:rPr>
      <w:t>VIII</w:t>
    </w:r>
    <w:r w:rsidRPr="00FA0F3D">
      <w:rPr>
        <w:rFonts w:ascii="Times New Roman" w:hAnsi="Times New Roman" w:cs="Times New Roman"/>
        <w:sz w:val="28"/>
        <w:szCs w:val="28"/>
      </w:rPr>
      <w:t xml:space="preserve">-4310 «Про затвердження Правил </w:t>
    </w:r>
    <w:proofErr w:type="spellStart"/>
    <w:r w:rsidRPr="00FA0F3D">
      <w:rPr>
        <w:rFonts w:ascii="Times New Roman" w:hAnsi="Times New Roman" w:cs="Times New Roman"/>
        <w:sz w:val="28"/>
        <w:szCs w:val="28"/>
      </w:rPr>
      <w:t>благоутрою</w:t>
    </w:r>
    <w:proofErr w:type="spellEnd"/>
    <w:r w:rsidRPr="00FA0F3D">
      <w:rPr>
        <w:rFonts w:ascii="Times New Roman" w:hAnsi="Times New Roman" w:cs="Times New Roman"/>
        <w:sz w:val="28"/>
        <w:szCs w:val="28"/>
      </w:rPr>
      <w:t xml:space="preserve"> території Вараської міської територіальної громади»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07D48"/>
    <w:multiLevelType w:val="multilevel"/>
    <w:tmpl w:val="79DA2994"/>
    <w:lvl w:ilvl="0">
      <w:start w:val="1"/>
      <w:numFmt w:val="decimal"/>
      <w:lvlText w:val="%1"/>
      <w:lvlJc w:val="left"/>
      <w:pPr>
        <w:tabs>
          <w:tab w:val="num" w:pos="431"/>
        </w:tabs>
        <w:ind w:left="720" w:hanging="360"/>
      </w:pPr>
      <w:rPr>
        <w:rFonts w:hint="default"/>
        <w:b/>
        <w:bCs/>
      </w:rPr>
    </w:lvl>
    <w:lvl w:ilvl="1">
      <w:start w:val="1"/>
      <w:numFmt w:val="decimal"/>
      <w:isLgl/>
      <w:lvlText w:val="%1.%2"/>
      <w:lvlJc w:val="left"/>
      <w:pPr>
        <w:ind w:left="567" w:firstLine="0"/>
      </w:pPr>
      <w:rPr>
        <w:rFonts w:ascii="Times New Roman" w:hAnsi="Times New Roman" w:cs="Times New Roman" w:hint="default"/>
        <w:color w:val="auto"/>
        <w:sz w:val="28"/>
        <w:szCs w:val="28"/>
      </w:rPr>
    </w:lvl>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CA"/>
    <w:rsid w:val="00076967"/>
    <w:rsid w:val="00201C0E"/>
    <w:rsid w:val="002D53FB"/>
    <w:rsid w:val="00346E36"/>
    <w:rsid w:val="00351EB4"/>
    <w:rsid w:val="003B6787"/>
    <w:rsid w:val="00451F9B"/>
    <w:rsid w:val="00460B8B"/>
    <w:rsid w:val="004F1B2F"/>
    <w:rsid w:val="00557AF1"/>
    <w:rsid w:val="005C636F"/>
    <w:rsid w:val="005F2EC8"/>
    <w:rsid w:val="006118BE"/>
    <w:rsid w:val="006C3DFD"/>
    <w:rsid w:val="006F77D0"/>
    <w:rsid w:val="00706E7B"/>
    <w:rsid w:val="0071143B"/>
    <w:rsid w:val="00744F76"/>
    <w:rsid w:val="00774A72"/>
    <w:rsid w:val="00807FEF"/>
    <w:rsid w:val="00840E4C"/>
    <w:rsid w:val="00860CD7"/>
    <w:rsid w:val="009863D7"/>
    <w:rsid w:val="00A45B78"/>
    <w:rsid w:val="00AD7543"/>
    <w:rsid w:val="00B13C70"/>
    <w:rsid w:val="00B3641C"/>
    <w:rsid w:val="00B668BA"/>
    <w:rsid w:val="00B767FC"/>
    <w:rsid w:val="00CC4755"/>
    <w:rsid w:val="00D10E2F"/>
    <w:rsid w:val="00E23A7A"/>
    <w:rsid w:val="00E572CA"/>
    <w:rsid w:val="00E831B7"/>
    <w:rsid w:val="00ED1746"/>
    <w:rsid w:val="00EE7258"/>
    <w:rsid w:val="00F90C52"/>
    <w:rsid w:val="00FA0F3D"/>
    <w:rsid w:val="00FC2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DE125-49C8-4408-BDA9-DB54CD50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57AF1"/>
    <w:pPr>
      <w:widowControl w:val="0"/>
      <w:suppressAutoHyphens/>
      <w:spacing w:before="120" w:after="240" w:line="240" w:lineRule="auto"/>
      <w:ind w:left="22"/>
      <w:outlineLvl w:val="0"/>
    </w:pPr>
    <w:rPr>
      <w:rFonts w:ascii="Times New Roman" w:eastAsiaTheme="majorEastAsia" w:hAnsi="Times New Roman" w:cstheme="majorBidi"/>
      <w:b/>
      <w:sz w:val="32"/>
      <w:szCs w:val="32"/>
    </w:rPr>
  </w:style>
  <w:style w:type="paragraph" w:styleId="2">
    <w:name w:val="heading 2"/>
    <w:basedOn w:val="a"/>
    <w:next w:val="a"/>
    <w:link w:val="20"/>
    <w:autoRedefine/>
    <w:uiPriority w:val="9"/>
    <w:unhideWhenUsed/>
    <w:qFormat/>
    <w:rsid w:val="00860CD7"/>
    <w:pPr>
      <w:widowControl w:val="0"/>
      <w:suppressAutoHyphens/>
      <w:spacing w:before="120" w:after="0" w:line="240" w:lineRule="auto"/>
      <w:ind w:left="22"/>
      <w:jc w:val="both"/>
      <w:outlineLvl w:val="1"/>
    </w:pPr>
    <w:rPr>
      <w:rFonts w:ascii="Times New Roman" w:eastAsiaTheme="majorEastAsia" w:hAnsi="Times New Roman" w:cstheme="majorBidi"/>
      <w:sz w:val="28"/>
      <w:szCs w:val="26"/>
    </w:rPr>
  </w:style>
  <w:style w:type="paragraph" w:styleId="3">
    <w:name w:val="heading 3"/>
    <w:basedOn w:val="a"/>
    <w:next w:val="a"/>
    <w:link w:val="30"/>
    <w:uiPriority w:val="9"/>
    <w:semiHidden/>
    <w:unhideWhenUsed/>
    <w:qFormat/>
    <w:rsid w:val="00451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84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57AF1"/>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860CD7"/>
    <w:rPr>
      <w:rFonts w:ascii="Times New Roman" w:eastAsiaTheme="majorEastAsia" w:hAnsi="Times New Roman" w:cstheme="majorBidi"/>
      <w:sz w:val="28"/>
      <w:szCs w:val="26"/>
    </w:rPr>
  </w:style>
  <w:style w:type="character" w:customStyle="1" w:styleId="40">
    <w:name w:val="Заголовок 4 Знак"/>
    <w:basedOn w:val="a0"/>
    <w:link w:val="4"/>
    <w:uiPriority w:val="9"/>
    <w:semiHidden/>
    <w:rsid w:val="00840E4C"/>
    <w:rPr>
      <w:rFonts w:asciiTheme="majorHAnsi" w:eastAsiaTheme="majorEastAsia" w:hAnsiTheme="majorHAnsi" w:cstheme="majorBidi"/>
      <w:i/>
      <w:iCs/>
      <w:color w:val="2F5496" w:themeColor="accent1" w:themeShade="BF"/>
    </w:rPr>
  </w:style>
  <w:style w:type="character" w:customStyle="1" w:styleId="30">
    <w:name w:val="Заголовок 3 Знак"/>
    <w:basedOn w:val="a0"/>
    <w:link w:val="3"/>
    <w:uiPriority w:val="9"/>
    <w:semiHidden/>
    <w:rsid w:val="00451F9B"/>
    <w:rPr>
      <w:rFonts w:asciiTheme="majorHAnsi" w:eastAsiaTheme="majorEastAsia" w:hAnsiTheme="majorHAnsi" w:cstheme="majorBidi"/>
      <w:color w:val="1F3763" w:themeColor="accent1" w:themeShade="7F"/>
      <w:sz w:val="24"/>
      <w:szCs w:val="24"/>
    </w:rPr>
  </w:style>
  <w:style w:type="paragraph" w:styleId="a4">
    <w:name w:val="No Spacing"/>
    <w:uiPriority w:val="1"/>
    <w:qFormat/>
    <w:rsid w:val="006118BE"/>
    <w:pPr>
      <w:spacing w:after="0" w:line="240" w:lineRule="auto"/>
    </w:pPr>
  </w:style>
  <w:style w:type="paragraph" w:styleId="a5">
    <w:name w:val="header"/>
    <w:basedOn w:val="a"/>
    <w:link w:val="a6"/>
    <w:uiPriority w:val="99"/>
    <w:unhideWhenUsed/>
    <w:rsid w:val="00FA0F3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A0F3D"/>
  </w:style>
  <w:style w:type="paragraph" w:styleId="a7">
    <w:name w:val="footer"/>
    <w:basedOn w:val="a"/>
    <w:link w:val="a8"/>
    <w:uiPriority w:val="99"/>
    <w:unhideWhenUsed/>
    <w:rsid w:val="00FA0F3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A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5355</Words>
  <Characters>3053</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Ustych</dc:creator>
  <cp:keywords/>
  <dc:description/>
  <cp:lastModifiedBy>Lytay</cp:lastModifiedBy>
  <cp:revision>2</cp:revision>
  <dcterms:created xsi:type="dcterms:W3CDTF">2022-11-28T12:27:00Z</dcterms:created>
  <dcterms:modified xsi:type="dcterms:W3CDTF">2022-11-28T12:27:00Z</dcterms:modified>
</cp:coreProperties>
</file>