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7A61" w14:textId="77777777" w:rsidR="00CC354E" w:rsidRDefault="00AF2D97" w:rsidP="00AF2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="00CC354E">
        <w:rPr>
          <w:noProof/>
          <w:lang w:val="en-US"/>
        </w:rPr>
        <w:drawing>
          <wp:inline distT="0" distB="0" distL="0" distR="0" wp14:anchorId="42CCE691" wp14:editId="49B612EE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proofErr w:type="gramStart"/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proofErr w:type="spellEnd"/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06C5">
        <w:rPr>
          <w:rFonts w:ascii="Times New Roman" w:eastAsia="Times New Roman" w:hAnsi="Times New Roman" w:cs="Times New Roman"/>
          <w:sz w:val="28"/>
          <w:szCs w:val="28"/>
          <w:lang w:eastAsia="ru-RU"/>
        </w:rPr>
        <w:t>В.Тацюк</w:t>
      </w:r>
      <w:proofErr w:type="spellEnd"/>
      <w:proofErr w:type="gramEnd"/>
    </w:p>
    <w:p w14:paraId="6BA3BE71" w14:textId="77777777"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03CDE1C7" w14:textId="77777777" w:rsidR="00CC354E" w:rsidRPr="009A5161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14:paraId="0C5B31FD" w14:textId="77777777" w:rsidR="00CC354E" w:rsidRPr="009A5161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                   сесія)</w:t>
      </w:r>
    </w:p>
    <w:p w14:paraId="21996E36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14:paraId="1625C30B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41B84407" w14:textId="77777777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5516A1E0" w14:textId="77777777" w:rsidR="00CC354E" w:rsidRPr="00F22D68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2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2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квітня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№ </w:t>
      </w:r>
      <w:r w:rsidR="00F22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1830-ПРР-</w:t>
      </w:r>
      <w:r w:rsidR="00F22D6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F22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-7310</w:t>
      </w:r>
    </w:p>
    <w:p w14:paraId="604CE657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D7AE4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023CA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73F9E79B" w14:textId="77777777"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</w:t>
      </w:r>
    </w:p>
    <w:p w14:paraId="553707D7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F2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3B34978D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6CAE5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14:paraId="78C2A8C0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5ED0CDCD" w14:textId="77777777"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14:paraId="0B741BA6" w14:textId="77777777" w:rsidR="00CC354E" w:rsidRPr="00A34564" w:rsidRDefault="00F812C4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proofErr w:type="spellStart"/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Вараська</w:t>
      </w:r>
      <w:proofErr w:type="spellEnd"/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рада </w:t>
      </w:r>
    </w:p>
    <w:p w14:paraId="0055718C" w14:textId="77777777"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14:paraId="68F1AAD9" w14:textId="77777777"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14:paraId="1A34405F" w14:textId="77777777"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14:paraId="61962FD6" w14:textId="77777777"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</w:t>
      </w:r>
      <w:r w:rsid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</w:t>
      </w:r>
      <w:proofErr w:type="spellStart"/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202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763FDE">
        <w:rPr>
          <w:rFonts w:ascii="Times New Roman" w:eastAsia="Times New Roman" w:hAnsi="Times New Roman" w:cs="Times New Roman"/>
          <w:sz w:val="28"/>
          <w:szCs w:val="28"/>
          <w:lang w:eastAsia="ru-RU"/>
        </w:rPr>
        <w:t>08.03.2022 № 1378-РР-</w:t>
      </w:r>
      <w:r w:rsidR="00763F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</w:t>
      </w:r>
      <w:r w:rsid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№1382-</w:t>
      </w:r>
      <w:r w:rsidR="00E12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2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</w:t>
      </w:r>
      <w:proofErr w:type="spellStart"/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 2022 рік»,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14:paraId="59B60ED7" w14:textId="77777777" w:rsidR="004B45D2" w:rsidRDefault="004B45D2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42FBD" w14:textId="77777777" w:rsidR="0057104E" w:rsidRPr="0057104E" w:rsidRDefault="00CC354E" w:rsidP="004B45D2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загального фонду бюджету </w:t>
      </w:r>
      <w:proofErr w:type="spellStart"/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202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551">
        <w:rPr>
          <w:rFonts w:ascii="Times New Roman" w:eastAsia="Times New Roman" w:hAnsi="Times New Roman" w:cs="Times New Roman"/>
          <w:sz w:val="28"/>
          <w:szCs w:val="28"/>
          <w:lang w:eastAsia="ru-RU"/>
        </w:rPr>
        <w:t>32 269 815</w:t>
      </w:r>
      <w:r w:rsid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5710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883322" w14:textId="77777777" w:rsidR="00B2243A" w:rsidRPr="002036F7" w:rsidRDefault="0057104E" w:rsidP="00E3398A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45D2"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90A"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</w:t>
      </w:r>
      <w:r w:rsidR="00E3398A"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суму  17 839 945 грн;</w:t>
      </w:r>
    </w:p>
    <w:p w14:paraId="621E9882" w14:textId="77777777" w:rsidR="00E3398A" w:rsidRPr="002036F7" w:rsidRDefault="00E3398A" w:rsidP="00E3398A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збільшення видатків загального фонду за рахунок зменшення (повернення) коштів, що передаються із загального фонду до бюджету розвитку (спеціального фонду) на суму 14 429 870 грн.</w:t>
      </w:r>
    </w:p>
    <w:p w14:paraId="4ACDA87D" w14:textId="77777777" w:rsidR="00615935" w:rsidRPr="00A35A56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EC5A784" w14:textId="77777777" w:rsidR="00455736" w:rsidRPr="00A34564" w:rsidRDefault="00E126EC" w:rsidP="002D1DD8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036F7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спеціального фонду </w:t>
      </w:r>
      <w:r w:rsidR="002D1DD8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proofErr w:type="spellStart"/>
      <w:r w:rsidR="002D1DD8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2D1DD8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2022 рік на суму  </w:t>
      </w:r>
      <w:r w:rsidR="00455736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14 141 270</w:t>
      </w:r>
      <w:r w:rsidR="002D1DD8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(в тому числі видатки бюджету  розвитку  спеціального фонду бюджету на суму    </w:t>
      </w:r>
      <w:r w:rsidR="00455736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14 141 270</w:t>
      </w:r>
      <w:r w:rsidR="002D1DD8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грн) згідно додатку 2 за рахунок</w:t>
      </w:r>
      <w:r w:rsidR="00455736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B84035" w14:textId="77777777" w:rsidR="00455736" w:rsidRPr="00455736" w:rsidRDefault="00455736" w:rsidP="00455736">
      <w:pPr>
        <w:pStyle w:val="aa"/>
        <w:numPr>
          <w:ilvl w:val="0"/>
          <w:numId w:val="3"/>
        </w:numPr>
        <w:autoSpaceDE w:val="0"/>
        <w:autoSpaceDN w:val="0"/>
        <w:spacing w:after="0" w:line="240" w:lineRule="auto"/>
        <w:ind w:left="0" w:firstLine="9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коштів, що передаються із загального фонду до бюджету розвитку (спеціального фонду) на суму 288 600 грн;</w:t>
      </w:r>
    </w:p>
    <w:p w14:paraId="2A83EF25" w14:textId="77777777" w:rsidR="00455736" w:rsidRPr="00455736" w:rsidRDefault="00455736" w:rsidP="00455736">
      <w:pPr>
        <w:pStyle w:val="aa"/>
        <w:numPr>
          <w:ilvl w:val="0"/>
          <w:numId w:val="3"/>
        </w:numPr>
        <w:autoSpaceDE w:val="0"/>
        <w:autoSpaceDN w:val="0"/>
        <w:spacing w:after="0" w:line="240" w:lineRule="auto"/>
        <w:ind w:left="0" w:firstLine="9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бюджету розвитку (спеціального фонду) на суму 14 429 870 грн.</w:t>
      </w:r>
    </w:p>
    <w:p w14:paraId="227A39A2" w14:textId="77777777" w:rsidR="00E126EC" w:rsidRPr="00A35A56" w:rsidRDefault="00E126EC" w:rsidP="00E126EC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601B180" w14:textId="77777777" w:rsidR="00CC354E" w:rsidRPr="00455736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фінансування бюджету </w:t>
      </w:r>
      <w:proofErr w:type="spellStart"/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 територіальної громади на 202</w:t>
      </w:r>
      <w:r w:rsidR="007D68DC"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834EBC"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455736"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57 272 716</w:t>
      </w: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455736"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79 660 134</w:t>
      </w:r>
      <w:r w:rsidR="003B4BF1"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455736"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79 660 134</w:t>
      </w:r>
      <w:r w:rsidR="007D68DC"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035770" w14:textId="77777777" w:rsidR="00B2243A" w:rsidRPr="00A35A56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D3E38A7" w14:textId="77777777" w:rsidR="00455736" w:rsidRPr="005C44B4" w:rsidRDefault="00455736" w:rsidP="005C44B4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</w:t>
      </w:r>
      <w:proofErr w:type="spellStart"/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територіальної громади на 2022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розмірі 26 400 000 грн, що становить </w:t>
      </w:r>
      <w:r w:rsid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>3,2  % відсотка видатків загального фонду бюджету громади.</w:t>
      </w:r>
    </w:p>
    <w:p w14:paraId="57105E1F" w14:textId="77777777" w:rsidR="005C44B4" w:rsidRDefault="005C44B4" w:rsidP="005C44B4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9F7A40E" w14:textId="77777777" w:rsidR="0074366B" w:rsidRPr="00A35A56" w:rsidRDefault="00CC354E" w:rsidP="005C44B4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</w:t>
      </w:r>
      <w:proofErr w:type="spellStart"/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202</w:t>
      </w:r>
      <w:r w:rsidR="007D68DC"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програмами згідно з додатком </w:t>
      </w:r>
      <w:r w:rsidR="005F6AEA"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</w:t>
      </w:r>
      <w:r w:rsidRPr="00A35A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14:paraId="1C5D69EE" w14:textId="77777777" w:rsidR="0074366B" w:rsidRPr="00A35A56" w:rsidRDefault="0074366B" w:rsidP="0074366B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6B595D2" w14:textId="77777777" w:rsidR="0074366B" w:rsidRPr="00A34564" w:rsidRDefault="0074366B" w:rsidP="0074366B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2022 рік згідно з додатком 3 до цього рішення.</w:t>
      </w:r>
    </w:p>
    <w:p w14:paraId="3F416245" w14:textId="77777777" w:rsidR="0074366B" w:rsidRPr="00A34564" w:rsidRDefault="0074366B" w:rsidP="0074366B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3C7C2" w14:textId="77777777" w:rsidR="00CC354E" w:rsidRPr="00A34564" w:rsidRDefault="00EC2B6E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proofErr w:type="spellStart"/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реалізацію місц</w:t>
      </w:r>
      <w:r w:rsidR="00BC6515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</w:t>
      </w:r>
      <w:r w:rsidR="003D5333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74366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58ED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цього рішення.</w:t>
      </w:r>
    </w:p>
    <w:p w14:paraId="70F33D62" w14:textId="77777777" w:rsidR="00C4670A" w:rsidRPr="00A35A56" w:rsidRDefault="00C4670A" w:rsidP="00C4670A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E86C59F" w14:textId="77777777" w:rsidR="00CC354E" w:rsidRPr="005C44B4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</w:t>
      </w:r>
      <w:proofErr w:type="spellStart"/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202</w:t>
      </w:r>
      <w:r w:rsidR="003D5333"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4B4"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>832 318 496</w:t>
      </w:r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535849B0" w14:textId="77777777" w:rsidR="00433404" w:rsidRPr="005C44B4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FD879" w14:textId="77777777" w:rsidR="00CC354E" w:rsidRPr="00A34564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74366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14:paraId="63F09D9B" w14:textId="77777777" w:rsidR="004E2305" w:rsidRPr="00A34564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B22B2" w14:textId="77777777" w:rsidR="00CC354E" w:rsidRPr="00A34564" w:rsidRDefault="004F3482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забезпечення діяльності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забезпечити оприлюднення цього рішення згідно Регламенту </w:t>
      </w:r>
      <w:proofErr w:type="spellStart"/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11CEC2E9" w14:textId="77777777" w:rsidR="004E2305" w:rsidRPr="00A34564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8199E" w14:textId="77777777" w:rsidR="00CC354E" w:rsidRPr="00A34564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9BAC58" w14:textId="77777777"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n2644"/>
      <w:bookmarkStart w:id="1" w:name="n2721"/>
      <w:bookmarkStart w:id="2" w:name="n2751"/>
      <w:bookmarkEnd w:id="0"/>
      <w:bookmarkEnd w:id="1"/>
      <w:bookmarkEnd w:id="2"/>
    </w:p>
    <w:p w14:paraId="4E2FA607" w14:textId="77777777"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013057" w14:textId="77777777"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A82C41" w14:textId="77777777"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3B6B1B8" w14:textId="77777777"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9845FE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7CAC" w14:textId="77777777" w:rsidR="00552D2C" w:rsidRDefault="00552D2C">
      <w:pPr>
        <w:spacing w:after="0" w:line="240" w:lineRule="auto"/>
      </w:pPr>
      <w:r>
        <w:separator/>
      </w:r>
    </w:p>
  </w:endnote>
  <w:endnote w:type="continuationSeparator" w:id="0">
    <w:p w14:paraId="03CB3E3C" w14:textId="77777777" w:rsidR="00552D2C" w:rsidRDefault="0055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7CF3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477296" w14:textId="77777777" w:rsidR="00162423" w:rsidRDefault="00F956DA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E021" w14:textId="77777777" w:rsidR="00162423" w:rsidRDefault="00F956DA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10E86" w14:textId="77777777" w:rsidR="00552D2C" w:rsidRDefault="00552D2C">
      <w:pPr>
        <w:spacing w:after="0" w:line="240" w:lineRule="auto"/>
      </w:pPr>
      <w:r>
        <w:separator/>
      </w:r>
    </w:p>
  </w:footnote>
  <w:footnote w:type="continuationSeparator" w:id="0">
    <w:p w14:paraId="067DDE02" w14:textId="77777777" w:rsidR="00552D2C" w:rsidRDefault="0055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C469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22D68">
      <w:rPr>
        <w:noProof/>
      </w:rPr>
      <w:t>2</w:t>
    </w:r>
    <w:r>
      <w:fldChar w:fldCharType="end"/>
    </w:r>
  </w:p>
  <w:p w14:paraId="2879D407" w14:textId="77777777" w:rsidR="009B27CE" w:rsidRDefault="00F956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 w16cid:durableId="528032585">
    <w:abstractNumId w:val="1"/>
  </w:num>
  <w:num w:numId="2" w16cid:durableId="1596015843">
    <w:abstractNumId w:val="0"/>
  </w:num>
  <w:num w:numId="3" w16cid:durableId="423186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F3"/>
    <w:rsid w:val="00040997"/>
    <w:rsid w:val="00060242"/>
    <w:rsid w:val="0006562A"/>
    <w:rsid w:val="000971F8"/>
    <w:rsid w:val="000C2186"/>
    <w:rsid w:val="000D72BD"/>
    <w:rsid w:val="000E1C9F"/>
    <w:rsid w:val="000F03F2"/>
    <w:rsid w:val="001006C5"/>
    <w:rsid w:val="00113E03"/>
    <w:rsid w:val="00153344"/>
    <w:rsid w:val="00165183"/>
    <w:rsid w:val="00174ED6"/>
    <w:rsid w:val="00180821"/>
    <w:rsid w:val="001F4F0C"/>
    <w:rsid w:val="002036F7"/>
    <w:rsid w:val="00210CB7"/>
    <w:rsid w:val="00221BF3"/>
    <w:rsid w:val="00225F15"/>
    <w:rsid w:val="00251308"/>
    <w:rsid w:val="00262DFB"/>
    <w:rsid w:val="002675BF"/>
    <w:rsid w:val="00293898"/>
    <w:rsid w:val="002C1A67"/>
    <w:rsid w:val="002D1DD8"/>
    <w:rsid w:val="002E3551"/>
    <w:rsid w:val="002E5C98"/>
    <w:rsid w:val="0032591C"/>
    <w:rsid w:val="00334A3C"/>
    <w:rsid w:val="00356825"/>
    <w:rsid w:val="00381A57"/>
    <w:rsid w:val="003B4BF1"/>
    <w:rsid w:val="003B56C8"/>
    <w:rsid w:val="003D5333"/>
    <w:rsid w:val="003E2CC7"/>
    <w:rsid w:val="0041077C"/>
    <w:rsid w:val="0042350B"/>
    <w:rsid w:val="0042684E"/>
    <w:rsid w:val="00433404"/>
    <w:rsid w:val="0044069E"/>
    <w:rsid w:val="00455736"/>
    <w:rsid w:val="00481A90"/>
    <w:rsid w:val="004B45D2"/>
    <w:rsid w:val="004C3C31"/>
    <w:rsid w:val="004E2305"/>
    <w:rsid w:val="004F3482"/>
    <w:rsid w:val="005341C9"/>
    <w:rsid w:val="005522D9"/>
    <w:rsid w:val="00552D2C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4366B"/>
    <w:rsid w:val="00752F02"/>
    <w:rsid w:val="00763FDE"/>
    <w:rsid w:val="00767E90"/>
    <w:rsid w:val="00771C24"/>
    <w:rsid w:val="0078463C"/>
    <w:rsid w:val="0079790A"/>
    <w:rsid w:val="007C04DF"/>
    <w:rsid w:val="007D06AC"/>
    <w:rsid w:val="007D68DC"/>
    <w:rsid w:val="007F0643"/>
    <w:rsid w:val="007F07B1"/>
    <w:rsid w:val="007F13EB"/>
    <w:rsid w:val="00834EBC"/>
    <w:rsid w:val="0089453C"/>
    <w:rsid w:val="008A388B"/>
    <w:rsid w:val="008B2362"/>
    <w:rsid w:val="008B5B9E"/>
    <w:rsid w:val="008C6F7A"/>
    <w:rsid w:val="008E7B56"/>
    <w:rsid w:val="008F6994"/>
    <w:rsid w:val="00953A0A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B5C3A"/>
    <w:rsid w:val="00AC0BA3"/>
    <w:rsid w:val="00AE5669"/>
    <w:rsid w:val="00AE6BEE"/>
    <w:rsid w:val="00AF2D97"/>
    <w:rsid w:val="00AF423F"/>
    <w:rsid w:val="00B05E52"/>
    <w:rsid w:val="00B17779"/>
    <w:rsid w:val="00B2243A"/>
    <w:rsid w:val="00B70B7C"/>
    <w:rsid w:val="00B83A9E"/>
    <w:rsid w:val="00BB0E21"/>
    <w:rsid w:val="00BC6515"/>
    <w:rsid w:val="00BD65D7"/>
    <w:rsid w:val="00BF760A"/>
    <w:rsid w:val="00C33371"/>
    <w:rsid w:val="00C4670A"/>
    <w:rsid w:val="00C5547B"/>
    <w:rsid w:val="00C81D2D"/>
    <w:rsid w:val="00CC1AD3"/>
    <w:rsid w:val="00CC354E"/>
    <w:rsid w:val="00CE0EAD"/>
    <w:rsid w:val="00CF6222"/>
    <w:rsid w:val="00D152D1"/>
    <w:rsid w:val="00D347DB"/>
    <w:rsid w:val="00D42C06"/>
    <w:rsid w:val="00D61DA8"/>
    <w:rsid w:val="00DA1A05"/>
    <w:rsid w:val="00E07B73"/>
    <w:rsid w:val="00E126EC"/>
    <w:rsid w:val="00E3398A"/>
    <w:rsid w:val="00E640C2"/>
    <w:rsid w:val="00E83540"/>
    <w:rsid w:val="00E9260E"/>
    <w:rsid w:val="00E94FA5"/>
    <w:rsid w:val="00EC2B6E"/>
    <w:rsid w:val="00F22D68"/>
    <w:rsid w:val="00F235F5"/>
    <w:rsid w:val="00F23FA6"/>
    <w:rsid w:val="00F348C9"/>
    <w:rsid w:val="00F637CE"/>
    <w:rsid w:val="00F812C4"/>
    <w:rsid w:val="00F827AC"/>
    <w:rsid w:val="00F861BD"/>
    <w:rsid w:val="00F956DA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8239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2466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Novak</cp:lastModifiedBy>
  <cp:revision>2</cp:revision>
  <cp:lastPrinted>2022-03-11T11:01:00Z</cp:lastPrinted>
  <dcterms:created xsi:type="dcterms:W3CDTF">2022-04-08T09:44:00Z</dcterms:created>
  <dcterms:modified xsi:type="dcterms:W3CDTF">2022-04-08T09:44:00Z</dcterms:modified>
</cp:coreProperties>
</file>