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0" w:rsidRPr="00CB4233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77E2B518" wp14:editId="4F4A4C3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="00D01F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="003034C4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Р.Котяш</w:t>
      </w:r>
      <w:proofErr w:type="spellEnd"/>
    </w:p>
    <w:p w:rsidR="00535090" w:rsidRPr="008321F0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09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35090" w:rsidRPr="008321F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35090" w:rsidRPr="00CC354E" w:rsidRDefault="00535090" w:rsidP="0053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FD50F3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50F3" w:rsidRPr="00FD50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 w:rsidR="00FD50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7.09.2023                         </w:t>
      </w:r>
      <w:bookmarkStart w:id="0" w:name="_GoBack"/>
      <w:bookmarkEnd w:id="0"/>
      <w:r w:rsidR="00FD50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</w:t>
      </w:r>
      <w:proofErr w:type="spellStart"/>
      <w:r w:rsidR="00FD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FD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№2605-ПРР-</w:t>
      </w:r>
      <w:r w:rsidR="00FD50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D1B9E" w:rsidRDefault="00680149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B9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начальника </w:t>
      </w:r>
      <w:r w:rsid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</w:t>
      </w:r>
      <w:r w:rsidR="000D1B9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військової адміністрації від 23.08.2023 року №366 «Про зміни до обласн</w:t>
      </w:r>
      <w:r w:rsid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1B9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бюджету Рівненської області на 2023 рік»,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535090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3F0" w:rsidRPr="00535090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535090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A36C48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1C38FE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2026-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РР-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2023 рік»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A36C48" w:rsidRDefault="00123955" w:rsidP="005970C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9E0ADE" w:rsidRDefault="009E0ADE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 18 291 000</w:t>
      </w: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</w:t>
      </w: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9E0ADE" w:rsidRDefault="009E0ADE" w:rsidP="009E0ADE">
      <w:pPr>
        <w:pStyle w:val="aa"/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дохідної частини загального фонду бюджету Вараської міської територіальної громади на 16 050 000 грн;</w:t>
      </w:r>
    </w:p>
    <w:p w:rsidR="009E0ADE" w:rsidRPr="00BA78F8" w:rsidRDefault="009E0ADE" w:rsidP="009E0AD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офіційних трансфертів від органів державного управління на 2 241 000 грн.</w:t>
      </w:r>
    </w:p>
    <w:p w:rsidR="009B1379" w:rsidRPr="00D64D99" w:rsidRDefault="005B127C" w:rsidP="009B1379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D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970CE" w:rsidRPr="00D64D9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C82CE7" w:rsidRDefault="00C82CE7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2 040 507</w:t>
      </w:r>
      <w:r w:rsidR="002F265B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1850E8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A36C48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9771F" w:rsidRDefault="005970CE" w:rsidP="0089771F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40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додатки 2, 3)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20 331 507</w:t>
      </w:r>
      <w:r w:rsidR="00437224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20 331 507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бюджету розвитку </w:t>
      </w:r>
      <w:r w:rsidR="0078462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</w:t>
      </w:r>
      <w:r w:rsidR="0089771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20 331 507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C82CE7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B97" w:rsidRPr="00D8400D" w:rsidRDefault="00A52B97" w:rsidP="00A52B9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4286" w:rsidRDefault="00A52B97" w:rsidP="00A52B9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2023 рік (додаток 2), установивши дефіцит загального фонду бюджету у сумі </w:t>
      </w:r>
      <w:r w:rsidR="006B7782">
        <w:rPr>
          <w:rFonts w:ascii="Times New Roman" w:eastAsia="Times New Roman" w:hAnsi="Times New Roman" w:cs="Times New Roman"/>
          <w:sz w:val="28"/>
          <w:szCs w:val="28"/>
          <w:lang w:eastAsia="ru-RU"/>
        </w:rPr>
        <w:t>16 548 908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6B778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125 699 248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6B7782">
        <w:rPr>
          <w:rFonts w:ascii="Times New Roman" w:eastAsia="Times New Roman" w:hAnsi="Times New Roman" w:cs="Times New Roman"/>
          <w:sz w:val="28"/>
          <w:szCs w:val="28"/>
          <w:lang w:eastAsia="ru-RU"/>
        </w:rPr>
        <w:t>125 589 623,37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D8400D" w:rsidRPr="00D8400D" w:rsidRDefault="00D8400D" w:rsidP="00D8400D">
      <w:p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103A1A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103A1A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103A1A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A36C48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F6FC0" w:rsidRPr="00103A1A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5 до цього рішення.</w:t>
      </w:r>
    </w:p>
    <w:p w:rsidR="008F6FC0" w:rsidRPr="00103A1A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127C" w:rsidRPr="00384351" w:rsidRDefault="005B127C" w:rsidP="005B127C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в сумі  </w:t>
      </w:r>
      <w:r w:rsidR="009E0ADE" w:rsidRP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>948 884 979,77</w:t>
      </w:r>
      <w:r w:rsidRPr="0038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3048D" w:rsidRPr="00461A4A" w:rsidRDefault="0023048D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A205B7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5B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965 433 887,77</w:t>
      </w:r>
      <w:r w:rsidR="006776C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A36C48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EC53D2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A36C48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BAD" w:rsidRPr="00A06EB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A06EB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06EBA" w:rsidRDefault="00CC354E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DC5B2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Pr="00DC5B24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F6FC0" w:rsidRPr="00DC5B24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55A7A" w:rsidRPr="00DC5B24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29" w:rsidRDefault="00A71729">
      <w:pPr>
        <w:spacing w:after="0" w:line="240" w:lineRule="auto"/>
      </w:pPr>
      <w:r>
        <w:separator/>
      </w:r>
    </w:p>
  </w:endnote>
  <w:endnote w:type="continuationSeparator" w:id="0">
    <w:p w:rsidR="00A71729" w:rsidRDefault="00A7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FD50F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FD50F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29" w:rsidRDefault="00A71729">
      <w:pPr>
        <w:spacing w:after="0" w:line="240" w:lineRule="auto"/>
      </w:pPr>
      <w:r>
        <w:separator/>
      </w:r>
    </w:p>
  </w:footnote>
  <w:footnote w:type="continuationSeparator" w:id="0">
    <w:p w:rsidR="00A71729" w:rsidRDefault="00A7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50F3">
      <w:rPr>
        <w:noProof/>
      </w:rPr>
      <w:t>2</w:t>
    </w:r>
    <w:r>
      <w:fldChar w:fldCharType="end"/>
    </w:r>
  </w:p>
  <w:p w:rsidR="009B27CE" w:rsidRDefault="00FD50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2585"/>
    <w:rsid w:val="001A4843"/>
    <w:rsid w:val="001B748C"/>
    <w:rsid w:val="001C1111"/>
    <w:rsid w:val="001C38FE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0636"/>
    <w:rsid w:val="00293898"/>
    <w:rsid w:val="002B037D"/>
    <w:rsid w:val="002B6C80"/>
    <w:rsid w:val="002C1A67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411A2"/>
    <w:rsid w:val="00343DC8"/>
    <w:rsid w:val="00344173"/>
    <w:rsid w:val="00350C29"/>
    <w:rsid w:val="00350E8D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7104E"/>
    <w:rsid w:val="00585915"/>
    <w:rsid w:val="00595EA9"/>
    <w:rsid w:val="005970CE"/>
    <w:rsid w:val="00597503"/>
    <w:rsid w:val="005A2A27"/>
    <w:rsid w:val="005B08FE"/>
    <w:rsid w:val="005B125D"/>
    <w:rsid w:val="005B127C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B7782"/>
    <w:rsid w:val="006C0643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A03A6E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7452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4D99"/>
    <w:rsid w:val="00D665CD"/>
    <w:rsid w:val="00D75634"/>
    <w:rsid w:val="00D76E8D"/>
    <w:rsid w:val="00D8400D"/>
    <w:rsid w:val="00DA1A05"/>
    <w:rsid w:val="00DA5248"/>
    <w:rsid w:val="00DB270E"/>
    <w:rsid w:val="00DB2D3E"/>
    <w:rsid w:val="00DC5B24"/>
    <w:rsid w:val="00DD0295"/>
    <w:rsid w:val="00DD0B8B"/>
    <w:rsid w:val="00DE2D8B"/>
    <w:rsid w:val="00DF4DD0"/>
    <w:rsid w:val="00DF6F89"/>
    <w:rsid w:val="00DF733E"/>
    <w:rsid w:val="00DF79CB"/>
    <w:rsid w:val="00E07B73"/>
    <w:rsid w:val="00E126EC"/>
    <w:rsid w:val="00E243AD"/>
    <w:rsid w:val="00E25E61"/>
    <w:rsid w:val="00E30B99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EC53D2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556D"/>
    <w:rsid w:val="00FC6168"/>
    <w:rsid w:val="00FC65A8"/>
    <w:rsid w:val="00FC74FE"/>
    <w:rsid w:val="00FD50F3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AC57A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3E28-BEC3-496B-A757-5B17CF8D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2023-07-19T11:19:00Z</cp:lastPrinted>
  <dcterms:created xsi:type="dcterms:W3CDTF">2023-09-07T09:55:00Z</dcterms:created>
  <dcterms:modified xsi:type="dcterms:W3CDTF">2023-09-07T09:55:00Z</dcterms:modified>
</cp:coreProperties>
</file>