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A9" w:rsidRDefault="008858E5" w:rsidP="00CF5772">
      <w:pPr>
        <w:jc w:val="center"/>
        <w:outlineLvl w:val="2"/>
        <w:rPr>
          <w:b/>
          <w:bCs/>
          <w:color w:val="000000"/>
          <w:szCs w:val="28"/>
          <w:lang w:eastAsia="uk-UA"/>
        </w:rPr>
      </w:pPr>
      <w:r w:rsidRPr="008858E5">
        <w:rPr>
          <w:b/>
          <w:bCs/>
          <w:noProof/>
          <w:color w:val="000000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3.85pt;margin-top:-3.85pt;width:201.25pt;height:62.2pt;z-index:251658240;mso-width-relative:margin;mso-height-relative:margin" stroked="f">
            <v:textbox>
              <w:txbxContent>
                <w:p w:rsidR="008A59BD" w:rsidRPr="00C06FFF" w:rsidRDefault="008A59BD" w:rsidP="009D20A9">
                  <w:pPr>
                    <w:rPr>
                      <w:sz w:val="26"/>
                      <w:szCs w:val="26"/>
                      <w:lang w:val="ru-RU"/>
                    </w:rPr>
                  </w:pPr>
                  <w:proofErr w:type="spellStart"/>
                  <w:r w:rsidRPr="00C06FFF">
                    <w:rPr>
                      <w:sz w:val="26"/>
                      <w:szCs w:val="26"/>
                      <w:lang w:val="ru-RU"/>
                    </w:rPr>
                    <w:t>Додаток</w:t>
                  </w:r>
                  <w:proofErr w:type="spellEnd"/>
                </w:p>
                <w:p w:rsidR="008A59BD" w:rsidRPr="00C06FFF" w:rsidRDefault="008A59BD" w:rsidP="009D20A9">
                  <w:pPr>
                    <w:rPr>
                      <w:sz w:val="26"/>
                      <w:szCs w:val="26"/>
                      <w:lang w:val="ru-RU"/>
                    </w:rPr>
                  </w:pPr>
                  <w:r w:rsidRPr="00C06FFF">
                    <w:rPr>
                      <w:sz w:val="26"/>
                      <w:szCs w:val="26"/>
                      <w:lang w:val="ru-RU"/>
                    </w:rPr>
                    <w:t xml:space="preserve">до </w:t>
                  </w:r>
                  <w:proofErr w:type="spellStart"/>
                  <w:proofErr w:type="gramStart"/>
                  <w:r w:rsidRPr="00C06FFF">
                    <w:rPr>
                      <w:sz w:val="26"/>
                      <w:szCs w:val="26"/>
                      <w:lang w:val="ru-RU"/>
                    </w:rPr>
                    <w:t>р</w:t>
                  </w:r>
                  <w:proofErr w:type="gramEnd"/>
                  <w:r w:rsidRPr="00C06FFF">
                    <w:rPr>
                      <w:sz w:val="26"/>
                      <w:szCs w:val="26"/>
                      <w:lang w:val="ru-RU"/>
                    </w:rPr>
                    <w:t>ішення</w:t>
                  </w:r>
                  <w:proofErr w:type="spellEnd"/>
                  <w:r w:rsidRPr="00C06FFF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C06FFF">
                    <w:rPr>
                      <w:sz w:val="26"/>
                      <w:szCs w:val="26"/>
                      <w:lang w:val="ru-RU"/>
                    </w:rPr>
                    <w:t>виконавчого</w:t>
                  </w:r>
                  <w:proofErr w:type="spellEnd"/>
                  <w:r w:rsidRPr="00C06FFF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 w:rsidRPr="00C06FFF">
                    <w:rPr>
                      <w:sz w:val="26"/>
                      <w:szCs w:val="26"/>
                      <w:lang w:val="ru-RU"/>
                    </w:rPr>
                    <w:t>комітету</w:t>
                  </w:r>
                  <w:proofErr w:type="spellEnd"/>
                </w:p>
                <w:p w:rsidR="008A59BD" w:rsidRPr="00C06FFF" w:rsidRDefault="008A59BD" w:rsidP="009D20A9">
                  <w:pPr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</w:rPr>
                    <w:t>______________№____________</w:t>
                  </w:r>
                </w:p>
                <w:p w:rsidR="008A59BD" w:rsidRDefault="008A59BD" w:rsidP="009D20A9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9D20A9" w:rsidRDefault="009D20A9" w:rsidP="00CF5772">
      <w:pPr>
        <w:jc w:val="center"/>
        <w:outlineLvl w:val="2"/>
        <w:rPr>
          <w:b/>
          <w:bCs/>
          <w:color w:val="000000"/>
          <w:szCs w:val="28"/>
          <w:lang w:eastAsia="uk-UA"/>
        </w:rPr>
      </w:pPr>
    </w:p>
    <w:p w:rsidR="009D20A9" w:rsidRDefault="009D20A9" w:rsidP="00CF5772">
      <w:pPr>
        <w:jc w:val="center"/>
        <w:outlineLvl w:val="2"/>
        <w:rPr>
          <w:b/>
          <w:bCs/>
          <w:color w:val="000000"/>
          <w:szCs w:val="28"/>
          <w:lang w:eastAsia="uk-UA"/>
        </w:rPr>
      </w:pPr>
    </w:p>
    <w:p w:rsidR="009D20A9" w:rsidRDefault="009D20A9" w:rsidP="00CF5772">
      <w:pPr>
        <w:jc w:val="center"/>
        <w:outlineLvl w:val="2"/>
        <w:rPr>
          <w:b/>
          <w:bCs/>
          <w:color w:val="000000"/>
          <w:szCs w:val="28"/>
          <w:lang w:eastAsia="uk-UA"/>
        </w:rPr>
      </w:pPr>
    </w:p>
    <w:p w:rsidR="009D20A9" w:rsidRDefault="009D20A9" w:rsidP="00CF5772">
      <w:pPr>
        <w:jc w:val="center"/>
        <w:outlineLvl w:val="2"/>
        <w:rPr>
          <w:b/>
          <w:bCs/>
          <w:color w:val="000000"/>
          <w:szCs w:val="28"/>
          <w:lang w:eastAsia="uk-UA"/>
        </w:rPr>
      </w:pPr>
    </w:p>
    <w:p w:rsidR="00032691" w:rsidRDefault="00032691" w:rsidP="00032691">
      <w:pPr>
        <w:jc w:val="center"/>
        <w:outlineLvl w:val="2"/>
        <w:rPr>
          <w:b/>
          <w:bCs/>
          <w:color w:val="000000"/>
          <w:szCs w:val="28"/>
          <w:lang w:eastAsia="uk-UA"/>
        </w:rPr>
      </w:pPr>
      <w:r w:rsidRPr="00F72E72">
        <w:rPr>
          <w:b/>
          <w:bCs/>
          <w:color w:val="000000"/>
          <w:szCs w:val="28"/>
          <w:lang w:eastAsia="uk-UA"/>
        </w:rPr>
        <w:t>ПРОГНОЗ</w:t>
      </w:r>
      <w:r w:rsidRPr="00F72E72">
        <w:rPr>
          <w:b/>
          <w:bCs/>
          <w:color w:val="000000"/>
          <w:szCs w:val="28"/>
          <w:lang w:eastAsia="uk-UA"/>
        </w:rPr>
        <w:br/>
        <w:t xml:space="preserve">бюджету </w:t>
      </w:r>
      <w:proofErr w:type="spellStart"/>
      <w:r>
        <w:rPr>
          <w:b/>
          <w:bCs/>
          <w:color w:val="000000"/>
          <w:szCs w:val="28"/>
          <w:lang w:eastAsia="uk-UA"/>
        </w:rPr>
        <w:t>Вараської</w:t>
      </w:r>
      <w:proofErr w:type="spellEnd"/>
      <w:r>
        <w:rPr>
          <w:b/>
          <w:bCs/>
          <w:color w:val="000000"/>
          <w:szCs w:val="28"/>
          <w:lang w:eastAsia="uk-UA"/>
        </w:rPr>
        <w:t xml:space="preserve"> міської об’єднаної територіальної громади</w:t>
      </w:r>
    </w:p>
    <w:p w:rsidR="00032691" w:rsidRDefault="00032691" w:rsidP="00032691">
      <w:pPr>
        <w:jc w:val="center"/>
        <w:outlineLvl w:val="2"/>
        <w:rPr>
          <w:b/>
          <w:bCs/>
          <w:color w:val="000000"/>
          <w:szCs w:val="28"/>
          <w:lang w:eastAsia="uk-UA"/>
        </w:rPr>
      </w:pPr>
      <w:r>
        <w:rPr>
          <w:b/>
          <w:bCs/>
          <w:color w:val="000000"/>
          <w:szCs w:val="28"/>
          <w:lang w:eastAsia="uk-UA"/>
        </w:rPr>
        <w:t xml:space="preserve"> </w:t>
      </w:r>
      <w:r w:rsidRPr="00F72E72">
        <w:rPr>
          <w:b/>
          <w:bCs/>
          <w:color w:val="000000"/>
          <w:szCs w:val="28"/>
          <w:lang w:eastAsia="uk-UA"/>
        </w:rPr>
        <w:t>на 20</w:t>
      </w:r>
      <w:r>
        <w:rPr>
          <w:b/>
          <w:bCs/>
          <w:color w:val="000000"/>
          <w:szCs w:val="28"/>
          <w:lang w:eastAsia="uk-UA"/>
        </w:rPr>
        <w:t>21</w:t>
      </w:r>
      <w:r w:rsidRPr="00F72E72">
        <w:rPr>
          <w:b/>
          <w:bCs/>
          <w:color w:val="000000"/>
          <w:szCs w:val="28"/>
          <w:lang w:eastAsia="uk-UA"/>
        </w:rPr>
        <w:t xml:space="preserve"> і 20</w:t>
      </w:r>
      <w:r>
        <w:rPr>
          <w:b/>
          <w:bCs/>
          <w:color w:val="000000"/>
          <w:szCs w:val="28"/>
          <w:lang w:eastAsia="uk-UA"/>
        </w:rPr>
        <w:t>22</w:t>
      </w:r>
      <w:r w:rsidRPr="00F72E72">
        <w:rPr>
          <w:b/>
          <w:bCs/>
          <w:color w:val="000000"/>
          <w:szCs w:val="28"/>
          <w:lang w:eastAsia="uk-UA"/>
        </w:rPr>
        <w:t xml:space="preserve"> роки</w:t>
      </w:r>
      <w:r w:rsidRPr="008E184A">
        <w:rPr>
          <w:b/>
          <w:bCs/>
          <w:color w:val="000000"/>
          <w:szCs w:val="28"/>
          <w:lang w:eastAsia="uk-UA"/>
        </w:rPr>
        <w:t xml:space="preserve"> </w:t>
      </w:r>
    </w:p>
    <w:p w:rsidR="00032691" w:rsidRPr="00924676" w:rsidRDefault="00032691" w:rsidP="00032691">
      <w:pPr>
        <w:jc w:val="center"/>
        <w:outlineLvl w:val="2"/>
        <w:rPr>
          <w:rFonts w:ascii="Antiqua" w:hAnsi="Antiqua"/>
          <w:b/>
          <w:bCs/>
          <w:color w:val="000000"/>
          <w:sz w:val="8"/>
          <w:szCs w:val="8"/>
        </w:rPr>
      </w:pPr>
    </w:p>
    <w:p w:rsidR="00032691" w:rsidRPr="008E184A" w:rsidRDefault="00032691" w:rsidP="00032691">
      <w:pPr>
        <w:tabs>
          <w:tab w:val="left" w:pos="709"/>
          <w:tab w:val="left" w:pos="900"/>
        </w:tabs>
        <w:jc w:val="center"/>
        <w:outlineLvl w:val="2"/>
        <w:rPr>
          <w:b/>
          <w:bCs/>
          <w:color w:val="000000"/>
          <w:szCs w:val="28"/>
          <w:lang w:eastAsia="uk-UA"/>
        </w:rPr>
      </w:pPr>
      <w:r w:rsidRPr="008E184A">
        <w:rPr>
          <w:b/>
          <w:bCs/>
          <w:color w:val="000000"/>
          <w:szCs w:val="28"/>
          <w:lang w:eastAsia="uk-UA"/>
        </w:rPr>
        <w:t xml:space="preserve">Загальна частина </w:t>
      </w:r>
    </w:p>
    <w:p w:rsidR="00032691" w:rsidRDefault="00032691" w:rsidP="00032691">
      <w:pPr>
        <w:tabs>
          <w:tab w:val="left" w:pos="540"/>
          <w:tab w:val="left" w:pos="720"/>
          <w:tab w:val="left" w:pos="900"/>
        </w:tabs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 </w:t>
      </w:r>
      <w:r w:rsidRPr="008E184A">
        <w:rPr>
          <w:color w:val="000000"/>
          <w:szCs w:val="28"/>
          <w:lang w:eastAsia="uk-UA"/>
        </w:rPr>
        <w:t xml:space="preserve">Прогноз бюджету </w:t>
      </w:r>
      <w:r w:rsidRPr="001B3A6A">
        <w:rPr>
          <w:color w:val="000000"/>
          <w:szCs w:val="28"/>
          <w:lang w:eastAsia="uk-UA"/>
        </w:rPr>
        <w:t xml:space="preserve">міської об’єднаної територіальної громади </w:t>
      </w:r>
      <w:r w:rsidRPr="008E184A">
        <w:rPr>
          <w:color w:val="000000"/>
          <w:szCs w:val="28"/>
          <w:lang w:eastAsia="uk-UA"/>
        </w:rPr>
        <w:t>на 20</w:t>
      </w:r>
      <w:r>
        <w:rPr>
          <w:color w:val="000000"/>
          <w:szCs w:val="28"/>
          <w:lang w:eastAsia="uk-UA"/>
        </w:rPr>
        <w:t>21</w:t>
      </w:r>
      <w:r w:rsidRPr="008E184A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>і</w:t>
      </w:r>
      <w:r w:rsidRPr="008E184A">
        <w:rPr>
          <w:color w:val="000000"/>
          <w:szCs w:val="28"/>
          <w:lang w:eastAsia="uk-UA"/>
        </w:rPr>
        <w:t xml:space="preserve"> 20</w:t>
      </w:r>
      <w:r>
        <w:rPr>
          <w:color w:val="000000"/>
          <w:szCs w:val="28"/>
          <w:lang w:eastAsia="uk-UA"/>
        </w:rPr>
        <w:t>22</w:t>
      </w:r>
      <w:r w:rsidRPr="008E184A">
        <w:rPr>
          <w:color w:val="000000"/>
          <w:szCs w:val="28"/>
          <w:lang w:eastAsia="uk-UA"/>
        </w:rPr>
        <w:t xml:space="preserve"> роки (далі – Прогноз) розроблено на основі положень Бюджетного кодексу України, Податкового кодексу України,</w:t>
      </w:r>
      <w:r>
        <w:rPr>
          <w:color w:val="000000"/>
          <w:szCs w:val="28"/>
          <w:lang w:eastAsia="uk-UA"/>
        </w:rPr>
        <w:t xml:space="preserve"> прогнозних показників економічного і соціального розвитку України на 2020 - 2022 роки,  схвалених постановою Кабінету </w:t>
      </w:r>
      <w:r w:rsidRPr="0056786C">
        <w:rPr>
          <w:color w:val="000000"/>
          <w:szCs w:val="28"/>
          <w:lang w:val="ru-RU" w:eastAsia="uk-UA"/>
        </w:rPr>
        <w:t>М</w:t>
      </w:r>
      <w:proofErr w:type="spellStart"/>
      <w:r>
        <w:rPr>
          <w:color w:val="000000"/>
          <w:szCs w:val="28"/>
          <w:lang w:eastAsia="uk-UA"/>
        </w:rPr>
        <w:t>іністрів</w:t>
      </w:r>
      <w:proofErr w:type="spellEnd"/>
      <w:r>
        <w:rPr>
          <w:color w:val="000000"/>
          <w:szCs w:val="28"/>
          <w:lang w:eastAsia="uk-UA"/>
        </w:rPr>
        <w:t xml:space="preserve"> України від 15 травня 2019 року № 555 «Про схвалення Прогнозу економічного і соціального розвитку України на 2020 - 2022 роки» зі змінами, внесеними постановою Кабінету міністрів України від 23 жовтня 2019 року № 883, прогнозних показників соціально - економічного розвитку </w:t>
      </w:r>
      <w:r w:rsidRPr="002B0E62">
        <w:rPr>
          <w:color w:val="000000"/>
          <w:szCs w:val="28"/>
          <w:lang w:eastAsia="uk-UA"/>
        </w:rPr>
        <w:t>міської об’єднаної територіальної громади</w:t>
      </w:r>
      <w:r>
        <w:rPr>
          <w:color w:val="000000"/>
          <w:szCs w:val="28"/>
          <w:lang w:eastAsia="uk-UA"/>
        </w:rPr>
        <w:t xml:space="preserve"> на 2021 і 2022 роки</w:t>
      </w:r>
      <w:r w:rsidRPr="008E184A">
        <w:rPr>
          <w:color w:val="000000"/>
          <w:szCs w:val="28"/>
          <w:lang w:eastAsia="uk-UA"/>
        </w:rPr>
        <w:t>.</w:t>
      </w:r>
    </w:p>
    <w:p w:rsidR="00032691" w:rsidRPr="008E184A" w:rsidRDefault="00032691" w:rsidP="00032691">
      <w:pPr>
        <w:tabs>
          <w:tab w:val="left" w:pos="540"/>
          <w:tab w:val="left" w:pos="709"/>
          <w:tab w:val="left" w:pos="900"/>
        </w:tabs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</w:t>
      </w:r>
      <w:r w:rsidRPr="008E184A">
        <w:rPr>
          <w:color w:val="000000"/>
          <w:szCs w:val="28"/>
          <w:lang w:eastAsia="uk-UA"/>
        </w:rPr>
        <w:t xml:space="preserve">Метою середньострокового бюджетного прогнозування є створення дієвого механізму управління бюджетним процесом як складової системи управління </w:t>
      </w:r>
      <w:r>
        <w:rPr>
          <w:color w:val="000000"/>
          <w:szCs w:val="28"/>
          <w:lang w:eastAsia="uk-UA"/>
        </w:rPr>
        <w:t>місцев</w:t>
      </w:r>
      <w:r w:rsidRPr="008E184A">
        <w:rPr>
          <w:color w:val="000000"/>
          <w:szCs w:val="28"/>
          <w:lang w:eastAsia="uk-UA"/>
        </w:rPr>
        <w:t xml:space="preserve">ими фінансами, встановлення взаємозв’язку між </w:t>
      </w:r>
      <w:r w:rsidRPr="00784F22">
        <w:rPr>
          <w:color w:val="000000"/>
          <w:szCs w:val="28"/>
          <w:lang w:eastAsia="uk-UA"/>
        </w:rPr>
        <w:t>стратегічними</w:t>
      </w:r>
      <w:r w:rsidRPr="008E184A">
        <w:rPr>
          <w:color w:val="000000"/>
          <w:szCs w:val="28"/>
          <w:lang w:eastAsia="uk-UA"/>
        </w:rPr>
        <w:t xml:space="preserve"> цілями розвитку </w:t>
      </w:r>
      <w:r>
        <w:rPr>
          <w:color w:val="000000"/>
          <w:szCs w:val="28"/>
          <w:lang w:eastAsia="uk-UA"/>
        </w:rPr>
        <w:t>територіальної громади</w:t>
      </w:r>
      <w:r w:rsidRPr="008E184A">
        <w:rPr>
          <w:color w:val="000000"/>
          <w:szCs w:val="28"/>
          <w:lang w:eastAsia="uk-UA"/>
        </w:rPr>
        <w:t xml:space="preserve"> та можливостями бюджету у середньостроковій перспективі, </w:t>
      </w:r>
      <w:r w:rsidRPr="008E184A">
        <w:rPr>
          <w:szCs w:val="28"/>
        </w:rPr>
        <w:t>забезпечення прозорості, передбачуваності та послідовності бюджетної політики.</w:t>
      </w:r>
    </w:p>
    <w:p w:rsidR="00032691" w:rsidRPr="008E184A" w:rsidRDefault="00032691" w:rsidP="00032691">
      <w:pPr>
        <w:tabs>
          <w:tab w:val="left" w:pos="709"/>
        </w:tabs>
        <w:ind w:firstLine="709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Основними з</w:t>
      </w:r>
      <w:r w:rsidRPr="008E184A">
        <w:rPr>
          <w:color w:val="000000"/>
          <w:szCs w:val="28"/>
          <w:lang w:eastAsia="uk-UA"/>
        </w:rPr>
        <w:t>авдання</w:t>
      </w:r>
      <w:r>
        <w:rPr>
          <w:color w:val="000000"/>
          <w:szCs w:val="28"/>
          <w:lang w:eastAsia="uk-UA"/>
        </w:rPr>
        <w:t>ми</w:t>
      </w:r>
      <w:r w:rsidRPr="008E184A">
        <w:rPr>
          <w:color w:val="000000"/>
          <w:szCs w:val="28"/>
          <w:lang w:eastAsia="uk-UA"/>
        </w:rPr>
        <w:t xml:space="preserve"> Прогнозу </w:t>
      </w:r>
      <w:r>
        <w:rPr>
          <w:color w:val="000000"/>
          <w:szCs w:val="28"/>
          <w:lang w:eastAsia="uk-UA"/>
        </w:rPr>
        <w:t>є</w:t>
      </w:r>
      <w:r w:rsidRPr="008E184A">
        <w:rPr>
          <w:color w:val="000000"/>
          <w:szCs w:val="28"/>
          <w:lang w:eastAsia="uk-UA"/>
        </w:rPr>
        <w:t xml:space="preserve">: </w:t>
      </w:r>
    </w:p>
    <w:p w:rsidR="00032691" w:rsidRPr="008E184A" w:rsidRDefault="00032691" w:rsidP="00032691">
      <w:pPr>
        <w:ind w:firstLine="709"/>
        <w:jc w:val="both"/>
        <w:rPr>
          <w:color w:val="000000"/>
          <w:szCs w:val="28"/>
          <w:lang w:eastAsia="uk-UA"/>
        </w:rPr>
      </w:pPr>
      <w:r w:rsidRPr="008E184A">
        <w:rPr>
          <w:color w:val="000000"/>
          <w:szCs w:val="28"/>
          <w:lang w:eastAsia="uk-UA"/>
        </w:rPr>
        <w:t>підвищення результативності та ефективності бюджетних видатків</w:t>
      </w:r>
      <w:r>
        <w:rPr>
          <w:color w:val="000000"/>
          <w:szCs w:val="28"/>
          <w:lang w:eastAsia="uk-UA"/>
        </w:rPr>
        <w:t>;</w:t>
      </w:r>
    </w:p>
    <w:p w:rsidR="00032691" w:rsidRPr="008E184A" w:rsidRDefault="00032691" w:rsidP="00032691">
      <w:pPr>
        <w:tabs>
          <w:tab w:val="left" w:pos="709"/>
        </w:tabs>
        <w:ind w:firstLine="709"/>
        <w:jc w:val="both"/>
        <w:rPr>
          <w:color w:val="000000"/>
          <w:szCs w:val="28"/>
          <w:lang w:eastAsia="uk-UA"/>
        </w:rPr>
      </w:pPr>
      <w:r w:rsidRPr="008E184A">
        <w:rPr>
          <w:color w:val="000000"/>
          <w:szCs w:val="28"/>
          <w:lang w:eastAsia="uk-UA"/>
        </w:rPr>
        <w:t>посилення бюджетної дисципліни та контролю за витратами бюджету</w:t>
      </w:r>
      <w:r>
        <w:rPr>
          <w:color w:val="000000"/>
          <w:szCs w:val="28"/>
          <w:lang w:eastAsia="uk-UA"/>
        </w:rPr>
        <w:t>;</w:t>
      </w:r>
    </w:p>
    <w:p w:rsidR="00032691" w:rsidRPr="008E184A" w:rsidRDefault="00032691" w:rsidP="00032691">
      <w:pPr>
        <w:tabs>
          <w:tab w:val="left" w:pos="709"/>
          <w:tab w:val="left" w:pos="900"/>
        </w:tabs>
        <w:ind w:firstLine="709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запровадження середньострокового бюджетного планування.</w:t>
      </w:r>
    </w:p>
    <w:p w:rsidR="00032691" w:rsidRDefault="00032691" w:rsidP="00032691">
      <w:pPr>
        <w:tabs>
          <w:tab w:val="left" w:pos="540"/>
          <w:tab w:val="left" w:pos="720"/>
          <w:tab w:val="left" w:pos="900"/>
        </w:tabs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</w:t>
      </w:r>
      <w:r w:rsidRPr="008E184A">
        <w:rPr>
          <w:color w:val="000000"/>
          <w:szCs w:val="28"/>
          <w:lang w:eastAsia="uk-UA"/>
        </w:rPr>
        <w:t xml:space="preserve">Прогноз включає індикативні прогнозні показники </w:t>
      </w:r>
      <w:r>
        <w:rPr>
          <w:color w:val="000000"/>
          <w:szCs w:val="28"/>
          <w:lang w:eastAsia="uk-UA"/>
        </w:rPr>
        <w:t xml:space="preserve">бюджету </w:t>
      </w:r>
      <w:r w:rsidRPr="00530C8C">
        <w:rPr>
          <w:color w:val="000000"/>
          <w:szCs w:val="28"/>
          <w:lang w:eastAsia="uk-UA"/>
        </w:rPr>
        <w:t>міської об’єднаної територіальної громади</w:t>
      </w:r>
      <w:r w:rsidRPr="008E184A">
        <w:rPr>
          <w:color w:val="000000"/>
          <w:szCs w:val="28"/>
          <w:lang w:eastAsia="uk-UA"/>
        </w:rPr>
        <w:t xml:space="preserve"> за основними видами </w:t>
      </w:r>
      <w:r>
        <w:rPr>
          <w:color w:val="000000"/>
          <w:szCs w:val="28"/>
          <w:lang w:eastAsia="uk-UA"/>
        </w:rPr>
        <w:t>доходів та витрат</w:t>
      </w:r>
      <w:r w:rsidRPr="008E184A">
        <w:rPr>
          <w:color w:val="000000"/>
          <w:szCs w:val="28"/>
          <w:lang w:eastAsia="uk-UA"/>
        </w:rPr>
        <w:t>.</w:t>
      </w:r>
    </w:p>
    <w:p w:rsidR="00032691" w:rsidRPr="00957279" w:rsidRDefault="00032691" w:rsidP="00032691">
      <w:pPr>
        <w:tabs>
          <w:tab w:val="left" w:pos="540"/>
          <w:tab w:val="left" w:pos="720"/>
          <w:tab w:val="left" w:pos="900"/>
        </w:tabs>
        <w:jc w:val="both"/>
        <w:rPr>
          <w:color w:val="000000"/>
          <w:sz w:val="8"/>
          <w:szCs w:val="8"/>
          <w:lang w:eastAsia="uk-UA"/>
        </w:rPr>
      </w:pPr>
    </w:p>
    <w:p w:rsidR="00032691" w:rsidRDefault="00032691" w:rsidP="00032691">
      <w:pPr>
        <w:tabs>
          <w:tab w:val="left" w:pos="709"/>
        </w:tabs>
        <w:jc w:val="center"/>
        <w:rPr>
          <w:b/>
          <w:color w:val="000000"/>
          <w:szCs w:val="28"/>
          <w:lang w:eastAsia="uk-UA"/>
        </w:rPr>
      </w:pPr>
      <w:r>
        <w:rPr>
          <w:b/>
          <w:color w:val="000000"/>
          <w:szCs w:val="28"/>
          <w:lang w:eastAsia="uk-UA"/>
        </w:rPr>
        <w:t xml:space="preserve">  </w:t>
      </w:r>
      <w:r w:rsidRPr="00DE1047">
        <w:rPr>
          <w:b/>
          <w:color w:val="000000"/>
          <w:szCs w:val="28"/>
          <w:lang w:eastAsia="uk-UA"/>
        </w:rPr>
        <w:t>Пок</w:t>
      </w:r>
      <w:r w:rsidRPr="008E184A">
        <w:rPr>
          <w:b/>
          <w:color w:val="000000"/>
          <w:szCs w:val="28"/>
          <w:lang w:eastAsia="uk-UA"/>
        </w:rPr>
        <w:t xml:space="preserve">азники прогнозу економічного та соціального розвитку </w:t>
      </w:r>
      <w:r w:rsidRPr="0007739A">
        <w:rPr>
          <w:b/>
          <w:color w:val="000000"/>
          <w:szCs w:val="28"/>
          <w:lang w:eastAsia="uk-UA"/>
        </w:rPr>
        <w:t>міської об’єднаної територіальної громади</w:t>
      </w:r>
      <w:r w:rsidRPr="008E184A">
        <w:rPr>
          <w:b/>
          <w:color w:val="000000"/>
          <w:szCs w:val="28"/>
          <w:lang w:eastAsia="uk-UA"/>
        </w:rPr>
        <w:t>, покладені в основу формування прогнозу бюджету</w:t>
      </w:r>
      <w:r>
        <w:rPr>
          <w:b/>
          <w:color w:val="000000"/>
          <w:szCs w:val="28"/>
          <w:lang w:eastAsia="uk-UA"/>
        </w:rPr>
        <w:t xml:space="preserve"> міста </w:t>
      </w:r>
      <w:r w:rsidRPr="008E184A">
        <w:rPr>
          <w:b/>
          <w:color w:val="000000"/>
          <w:szCs w:val="28"/>
          <w:lang w:eastAsia="uk-UA"/>
        </w:rPr>
        <w:t>на 20</w:t>
      </w:r>
      <w:r>
        <w:rPr>
          <w:b/>
          <w:color w:val="000000"/>
          <w:szCs w:val="28"/>
          <w:lang w:eastAsia="uk-UA"/>
        </w:rPr>
        <w:t>21</w:t>
      </w:r>
      <w:r w:rsidRPr="008E184A">
        <w:rPr>
          <w:b/>
          <w:color w:val="000000"/>
          <w:szCs w:val="28"/>
          <w:lang w:eastAsia="uk-UA"/>
        </w:rPr>
        <w:t xml:space="preserve"> </w:t>
      </w:r>
      <w:r>
        <w:rPr>
          <w:b/>
          <w:color w:val="000000"/>
          <w:szCs w:val="28"/>
          <w:lang w:eastAsia="uk-UA"/>
        </w:rPr>
        <w:t xml:space="preserve">і </w:t>
      </w:r>
      <w:r w:rsidRPr="008E184A">
        <w:rPr>
          <w:b/>
          <w:color w:val="000000"/>
          <w:szCs w:val="28"/>
          <w:lang w:eastAsia="uk-UA"/>
        </w:rPr>
        <w:t>20</w:t>
      </w:r>
      <w:r>
        <w:rPr>
          <w:b/>
          <w:color w:val="000000"/>
          <w:szCs w:val="28"/>
          <w:lang w:eastAsia="uk-UA"/>
        </w:rPr>
        <w:t>22</w:t>
      </w:r>
      <w:r w:rsidRPr="008E184A">
        <w:rPr>
          <w:b/>
          <w:color w:val="000000"/>
          <w:szCs w:val="28"/>
          <w:lang w:eastAsia="uk-UA"/>
        </w:rPr>
        <w:t xml:space="preserve"> роки</w:t>
      </w:r>
    </w:p>
    <w:p w:rsidR="00032691" w:rsidRPr="00AC1558" w:rsidRDefault="00032691" w:rsidP="00032691">
      <w:pPr>
        <w:tabs>
          <w:tab w:val="left" w:pos="709"/>
        </w:tabs>
        <w:jc w:val="center"/>
        <w:rPr>
          <w:b/>
          <w:color w:val="000000"/>
          <w:sz w:val="8"/>
          <w:szCs w:val="8"/>
          <w:lang w:eastAsia="uk-UA"/>
        </w:rPr>
      </w:pPr>
    </w:p>
    <w:p w:rsidR="00032691" w:rsidRPr="000D6BCC" w:rsidRDefault="00032691" w:rsidP="00032691">
      <w:pPr>
        <w:tabs>
          <w:tab w:val="left" w:pos="540"/>
          <w:tab w:val="left" w:pos="709"/>
          <w:tab w:val="left" w:pos="851"/>
          <w:tab w:val="left" w:pos="993"/>
        </w:tabs>
        <w:ind w:firstLine="851"/>
        <w:jc w:val="both"/>
        <w:rPr>
          <w:szCs w:val="28"/>
        </w:rPr>
      </w:pPr>
      <w:r w:rsidRPr="000D6BCC">
        <w:rPr>
          <w:szCs w:val="28"/>
        </w:rPr>
        <w:t>Реалізація заходів Програми економічного і соціального розвитку міста на 201</w:t>
      </w:r>
      <w:r>
        <w:rPr>
          <w:szCs w:val="28"/>
        </w:rPr>
        <w:t>9</w:t>
      </w:r>
      <w:r w:rsidRPr="000D6BCC">
        <w:rPr>
          <w:szCs w:val="28"/>
        </w:rPr>
        <w:t xml:space="preserve"> рік сприяла стабільній роботі господарського комплексу та розвитку соціальної сфери міста. </w:t>
      </w:r>
    </w:p>
    <w:p w:rsidR="00032691" w:rsidRPr="000D6BCC" w:rsidRDefault="00032691" w:rsidP="00032691">
      <w:pPr>
        <w:ind w:firstLine="851"/>
        <w:jc w:val="both"/>
        <w:rPr>
          <w:szCs w:val="28"/>
        </w:rPr>
      </w:pPr>
      <w:r w:rsidRPr="000D6BCC">
        <w:rPr>
          <w:szCs w:val="28"/>
        </w:rPr>
        <w:t>Складовими економіки міста є промисловість, житлово-комунальне господарство, торгівля і громадське харчування, сфера побутових послуг, фінансова діяльність та будівництво.</w:t>
      </w:r>
    </w:p>
    <w:p w:rsidR="00032691" w:rsidRPr="000D6BCC" w:rsidRDefault="00032691" w:rsidP="00032691">
      <w:pPr>
        <w:ind w:firstLine="851"/>
        <w:jc w:val="both"/>
        <w:rPr>
          <w:szCs w:val="28"/>
        </w:rPr>
      </w:pPr>
      <w:r w:rsidRPr="000D6BCC">
        <w:rPr>
          <w:szCs w:val="28"/>
        </w:rPr>
        <w:t xml:space="preserve">Основним промисловим та бюджетоутворюючим підприємством є відокремлений підрозділ «Рівненська АЕС» </w:t>
      </w:r>
      <w:proofErr w:type="spellStart"/>
      <w:r w:rsidRPr="000D6BCC">
        <w:rPr>
          <w:szCs w:val="28"/>
        </w:rPr>
        <w:t>ДП</w:t>
      </w:r>
      <w:proofErr w:type="spellEnd"/>
      <w:r w:rsidRPr="000D6BCC">
        <w:rPr>
          <w:szCs w:val="28"/>
        </w:rPr>
        <w:t xml:space="preserve"> «НАЕК «Енергоатом», річний обсяг виробництва  електроенергії  якого складає близько 19,0 млрд. КВт/год., що становить 21,0% від усієї виробленої електричної енергії атомними електростанціями та 12,0% від загального виробництва електроенергії в Україні.</w:t>
      </w:r>
      <w:r w:rsidRPr="000D6BCC">
        <w:rPr>
          <w:color w:val="FF0000"/>
          <w:szCs w:val="28"/>
        </w:rPr>
        <w:t xml:space="preserve"> </w:t>
      </w:r>
      <w:r w:rsidRPr="000D6BCC">
        <w:rPr>
          <w:szCs w:val="28"/>
        </w:rPr>
        <w:t xml:space="preserve">Питома вага виробленої продукції </w:t>
      </w:r>
      <w:r w:rsidRPr="00833342">
        <w:rPr>
          <w:szCs w:val="28"/>
        </w:rPr>
        <w:t>відокремлени</w:t>
      </w:r>
      <w:r>
        <w:rPr>
          <w:szCs w:val="28"/>
        </w:rPr>
        <w:t>м</w:t>
      </w:r>
      <w:r w:rsidRPr="00833342">
        <w:rPr>
          <w:szCs w:val="28"/>
        </w:rPr>
        <w:t xml:space="preserve"> </w:t>
      </w:r>
      <w:r w:rsidRPr="00833342">
        <w:rPr>
          <w:szCs w:val="28"/>
        </w:rPr>
        <w:lastRenderedPageBreak/>
        <w:t>підрозділ</w:t>
      </w:r>
      <w:r>
        <w:rPr>
          <w:szCs w:val="28"/>
        </w:rPr>
        <w:t>ом</w:t>
      </w:r>
      <w:r w:rsidRPr="00833342">
        <w:rPr>
          <w:szCs w:val="28"/>
        </w:rPr>
        <w:t xml:space="preserve"> «Рівненська АЕС» </w:t>
      </w:r>
      <w:r w:rsidRPr="000D6BCC">
        <w:rPr>
          <w:szCs w:val="28"/>
        </w:rPr>
        <w:t xml:space="preserve">в загальному обсязі промислового виробництва по місту складає близько 99%. </w:t>
      </w:r>
    </w:p>
    <w:p w:rsidR="00032691" w:rsidRPr="000D6BCC" w:rsidRDefault="00032691" w:rsidP="00032691">
      <w:pPr>
        <w:tabs>
          <w:tab w:val="left" w:pos="851"/>
          <w:tab w:val="left" w:pos="993"/>
        </w:tabs>
        <w:ind w:firstLine="851"/>
        <w:jc w:val="both"/>
        <w:rPr>
          <w:szCs w:val="28"/>
        </w:rPr>
      </w:pPr>
      <w:r w:rsidRPr="000D6BCC">
        <w:rPr>
          <w:szCs w:val="28"/>
        </w:rPr>
        <w:t xml:space="preserve">За </w:t>
      </w:r>
      <w:proofErr w:type="spellStart"/>
      <w:r w:rsidRPr="000D6BCC">
        <w:rPr>
          <w:szCs w:val="28"/>
        </w:rPr>
        <w:t>січень</w:t>
      </w:r>
      <w:r w:rsidRPr="00E022E4">
        <w:rPr>
          <w:szCs w:val="28"/>
        </w:rPr>
        <w:t>–</w:t>
      </w:r>
      <w:r w:rsidRPr="000D6BCC">
        <w:rPr>
          <w:szCs w:val="28"/>
        </w:rPr>
        <w:t>листопад</w:t>
      </w:r>
      <w:proofErr w:type="spellEnd"/>
      <w:r w:rsidRPr="000D6BCC">
        <w:rPr>
          <w:szCs w:val="28"/>
        </w:rPr>
        <w:t xml:space="preserve"> 201</w:t>
      </w:r>
      <w:r>
        <w:rPr>
          <w:szCs w:val="28"/>
        </w:rPr>
        <w:t>9</w:t>
      </w:r>
      <w:r w:rsidRPr="000D6BCC">
        <w:rPr>
          <w:szCs w:val="28"/>
        </w:rPr>
        <w:t xml:space="preserve"> року  відокремленим підрозділом «Рівненська АЕС» </w:t>
      </w:r>
      <w:proofErr w:type="spellStart"/>
      <w:r w:rsidRPr="000D6BCC">
        <w:rPr>
          <w:szCs w:val="28"/>
        </w:rPr>
        <w:t>ДП</w:t>
      </w:r>
      <w:proofErr w:type="spellEnd"/>
      <w:r w:rsidRPr="000D6BCC">
        <w:rPr>
          <w:szCs w:val="28"/>
        </w:rPr>
        <w:t xml:space="preserve"> «НАЕК «Енергоатом» </w:t>
      </w:r>
      <w:r>
        <w:rPr>
          <w:szCs w:val="28"/>
        </w:rPr>
        <w:t xml:space="preserve"> до бюджетів усіх рівнів сплачено 474,8 </w:t>
      </w:r>
      <w:proofErr w:type="spellStart"/>
      <w:r>
        <w:rPr>
          <w:szCs w:val="28"/>
        </w:rPr>
        <w:t>млн.грн</w:t>
      </w:r>
      <w:proofErr w:type="spellEnd"/>
      <w:r>
        <w:rPr>
          <w:szCs w:val="28"/>
        </w:rPr>
        <w:t xml:space="preserve">  податків і зборів, з яких  244,3</w:t>
      </w:r>
      <w:r w:rsidRPr="000D6BCC">
        <w:rPr>
          <w:szCs w:val="28"/>
        </w:rPr>
        <w:t xml:space="preserve"> млн. </w:t>
      </w:r>
      <w:proofErr w:type="spellStart"/>
      <w:r w:rsidRPr="000D6BCC">
        <w:rPr>
          <w:szCs w:val="28"/>
        </w:rPr>
        <w:t>грн</w:t>
      </w:r>
      <w:proofErr w:type="spellEnd"/>
      <w:r w:rsidRPr="000D6BCC">
        <w:rPr>
          <w:szCs w:val="28"/>
        </w:rPr>
        <w:t xml:space="preserve">  </w:t>
      </w:r>
      <w:r w:rsidRPr="00E022E4">
        <w:rPr>
          <w:szCs w:val="28"/>
        </w:rPr>
        <w:t>–</w:t>
      </w:r>
      <w:r>
        <w:rPr>
          <w:szCs w:val="28"/>
        </w:rPr>
        <w:t xml:space="preserve"> до бюджету міста</w:t>
      </w:r>
      <w:r w:rsidRPr="000D6BCC">
        <w:rPr>
          <w:szCs w:val="28"/>
        </w:rPr>
        <w:t xml:space="preserve">, що становить </w:t>
      </w:r>
      <w:r>
        <w:rPr>
          <w:szCs w:val="28"/>
        </w:rPr>
        <w:t>62,5</w:t>
      </w:r>
      <w:r w:rsidRPr="000D6BCC">
        <w:rPr>
          <w:szCs w:val="28"/>
        </w:rPr>
        <w:t xml:space="preserve">% </w:t>
      </w:r>
      <w:r>
        <w:rPr>
          <w:szCs w:val="28"/>
        </w:rPr>
        <w:t xml:space="preserve">від загального обсягу </w:t>
      </w:r>
      <w:r w:rsidRPr="000D6BCC">
        <w:rPr>
          <w:szCs w:val="28"/>
        </w:rPr>
        <w:t xml:space="preserve">власних доходів загального фонду міського бюджету.  </w:t>
      </w:r>
    </w:p>
    <w:p w:rsidR="00032691" w:rsidRPr="000D6BCC" w:rsidRDefault="00032691" w:rsidP="00032691">
      <w:pPr>
        <w:tabs>
          <w:tab w:val="left" w:pos="851"/>
          <w:tab w:val="left" w:pos="993"/>
        </w:tabs>
        <w:ind w:firstLine="851"/>
        <w:jc w:val="both"/>
        <w:rPr>
          <w:szCs w:val="28"/>
        </w:rPr>
      </w:pPr>
      <w:r w:rsidRPr="000D6BCC">
        <w:rPr>
          <w:szCs w:val="28"/>
        </w:rPr>
        <w:t xml:space="preserve">Відповідно до </w:t>
      </w:r>
      <w:r>
        <w:rPr>
          <w:szCs w:val="28"/>
        </w:rPr>
        <w:t xml:space="preserve">даних </w:t>
      </w:r>
      <w:r w:rsidRPr="000D6BCC">
        <w:rPr>
          <w:szCs w:val="28"/>
        </w:rPr>
        <w:t xml:space="preserve">Програми економічного і соціального розвитку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об’єднаної територіальної громади </w:t>
      </w:r>
      <w:r w:rsidRPr="000D6BCC">
        <w:rPr>
          <w:szCs w:val="28"/>
        </w:rPr>
        <w:t>на 20</w:t>
      </w:r>
      <w:r>
        <w:rPr>
          <w:szCs w:val="28"/>
        </w:rPr>
        <w:t>20</w:t>
      </w:r>
      <w:r w:rsidRPr="000D6BCC">
        <w:rPr>
          <w:szCs w:val="28"/>
        </w:rPr>
        <w:t xml:space="preserve"> рік обсяг реалізованої промислової продукції підприємствами міста у </w:t>
      </w:r>
      <w:proofErr w:type="spellStart"/>
      <w:r w:rsidRPr="000D6BCC">
        <w:rPr>
          <w:szCs w:val="28"/>
        </w:rPr>
        <w:t>січні–</w:t>
      </w:r>
      <w:r>
        <w:rPr>
          <w:szCs w:val="28"/>
        </w:rPr>
        <w:t>липн</w:t>
      </w:r>
      <w:r w:rsidRPr="000D6BCC">
        <w:rPr>
          <w:szCs w:val="28"/>
        </w:rPr>
        <w:t>і</w:t>
      </w:r>
      <w:proofErr w:type="spellEnd"/>
      <w:r w:rsidRPr="000D6BCC">
        <w:rPr>
          <w:szCs w:val="28"/>
        </w:rPr>
        <w:t xml:space="preserve"> 201</w:t>
      </w:r>
      <w:r>
        <w:rPr>
          <w:szCs w:val="28"/>
        </w:rPr>
        <w:t>9</w:t>
      </w:r>
      <w:r w:rsidRPr="000D6BCC">
        <w:rPr>
          <w:szCs w:val="28"/>
        </w:rPr>
        <w:t xml:space="preserve"> року склав </w:t>
      </w:r>
      <w:r>
        <w:rPr>
          <w:szCs w:val="28"/>
        </w:rPr>
        <w:t xml:space="preserve">6 290,6 млн. </w:t>
      </w:r>
      <w:proofErr w:type="spellStart"/>
      <w:r>
        <w:rPr>
          <w:szCs w:val="28"/>
        </w:rPr>
        <w:t>грн</w:t>
      </w:r>
      <w:proofErr w:type="spellEnd"/>
      <w:r w:rsidRPr="000D6BCC">
        <w:rPr>
          <w:szCs w:val="28"/>
        </w:rPr>
        <w:t xml:space="preserve">, що становило </w:t>
      </w:r>
      <w:r>
        <w:rPr>
          <w:szCs w:val="28"/>
        </w:rPr>
        <w:t>25,7</w:t>
      </w:r>
      <w:r w:rsidRPr="000D6BCC">
        <w:rPr>
          <w:szCs w:val="28"/>
        </w:rPr>
        <w:t xml:space="preserve">% від </w:t>
      </w:r>
      <w:r>
        <w:rPr>
          <w:szCs w:val="28"/>
        </w:rPr>
        <w:t xml:space="preserve">загального </w:t>
      </w:r>
      <w:r w:rsidRPr="000D6BCC">
        <w:rPr>
          <w:szCs w:val="28"/>
        </w:rPr>
        <w:t>обсягу реалізованої промислової продукції по області.</w:t>
      </w:r>
    </w:p>
    <w:p w:rsidR="00032691" w:rsidRPr="000D6BCC" w:rsidRDefault="00032691" w:rsidP="00032691">
      <w:pPr>
        <w:tabs>
          <w:tab w:val="left" w:pos="851"/>
          <w:tab w:val="left" w:pos="993"/>
        </w:tabs>
        <w:ind w:firstLine="851"/>
        <w:jc w:val="both"/>
        <w:rPr>
          <w:szCs w:val="28"/>
        </w:rPr>
      </w:pPr>
      <w:r w:rsidRPr="000D6BCC">
        <w:rPr>
          <w:szCs w:val="28"/>
        </w:rPr>
        <w:t xml:space="preserve">Розвиток інвестиційного та будівельного комплексу в галузі промисловості </w:t>
      </w:r>
      <w:r>
        <w:rPr>
          <w:szCs w:val="28"/>
        </w:rPr>
        <w:t>на кінець</w:t>
      </w:r>
      <w:r w:rsidRPr="000D6BCC">
        <w:rPr>
          <w:szCs w:val="28"/>
        </w:rPr>
        <w:t xml:space="preserve"> 201</w:t>
      </w:r>
      <w:r>
        <w:rPr>
          <w:szCs w:val="28"/>
        </w:rPr>
        <w:t>9</w:t>
      </w:r>
      <w:r w:rsidRPr="000D6BCC">
        <w:rPr>
          <w:szCs w:val="28"/>
        </w:rPr>
        <w:t xml:space="preserve"> року характеризується наступними показниками:</w:t>
      </w:r>
    </w:p>
    <w:p w:rsidR="00032691" w:rsidRDefault="00032691" w:rsidP="00032691">
      <w:pPr>
        <w:pStyle w:val="ad"/>
        <w:tabs>
          <w:tab w:val="left" w:pos="540"/>
          <w:tab w:val="left" w:pos="709"/>
          <w:tab w:val="left" w:pos="851"/>
          <w:tab w:val="left" w:pos="993"/>
        </w:tabs>
        <w:spacing w:after="0"/>
        <w:ind w:firstLine="851"/>
        <w:jc w:val="both"/>
        <w:rPr>
          <w:szCs w:val="28"/>
        </w:rPr>
      </w:pPr>
      <w:r w:rsidRPr="000D6BCC">
        <w:rPr>
          <w:szCs w:val="28"/>
        </w:rPr>
        <w:t>обсяг будівельних робіт, виконаних власними силами,</w:t>
      </w:r>
      <w:r w:rsidRPr="000D6BCC">
        <w:rPr>
          <w:color w:val="FF0000"/>
          <w:szCs w:val="28"/>
        </w:rPr>
        <w:t xml:space="preserve"> </w:t>
      </w:r>
      <w:r w:rsidRPr="000D6BCC">
        <w:rPr>
          <w:szCs w:val="28"/>
        </w:rPr>
        <w:t>скла</w:t>
      </w:r>
      <w:r>
        <w:rPr>
          <w:szCs w:val="28"/>
        </w:rPr>
        <w:t>де</w:t>
      </w:r>
      <w:r w:rsidRPr="000D6BCC">
        <w:rPr>
          <w:szCs w:val="28"/>
        </w:rPr>
        <w:t xml:space="preserve"> </w:t>
      </w:r>
      <w:r>
        <w:rPr>
          <w:szCs w:val="28"/>
        </w:rPr>
        <w:t>0</w:t>
      </w:r>
      <w:r w:rsidRPr="000D6BCC">
        <w:rPr>
          <w:szCs w:val="28"/>
        </w:rPr>
        <w:t>,8</w:t>
      </w:r>
      <w:r>
        <w:rPr>
          <w:szCs w:val="28"/>
        </w:rPr>
        <w:t xml:space="preserve">4 </w:t>
      </w:r>
      <w:proofErr w:type="spellStart"/>
      <w:r>
        <w:rPr>
          <w:szCs w:val="28"/>
        </w:rPr>
        <w:t>м</w:t>
      </w:r>
      <w:r w:rsidRPr="000D6BCC">
        <w:rPr>
          <w:szCs w:val="28"/>
        </w:rPr>
        <w:t>лн.грн</w:t>
      </w:r>
      <w:proofErr w:type="spellEnd"/>
      <w:r>
        <w:rPr>
          <w:szCs w:val="28"/>
        </w:rPr>
        <w:t xml:space="preserve"> </w:t>
      </w:r>
      <w:r w:rsidRPr="000D6BCC">
        <w:rPr>
          <w:szCs w:val="28"/>
        </w:rPr>
        <w:t xml:space="preserve"> (у фактичних цінах);</w:t>
      </w:r>
      <w:r>
        <w:rPr>
          <w:szCs w:val="28"/>
        </w:rPr>
        <w:t xml:space="preserve"> </w:t>
      </w:r>
    </w:p>
    <w:p w:rsidR="00032691" w:rsidRPr="000D6BCC" w:rsidRDefault="00032691" w:rsidP="00032691">
      <w:pPr>
        <w:pStyle w:val="ad"/>
        <w:tabs>
          <w:tab w:val="left" w:pos="540"/>
          <w:tab w:val="left" w:pos="709"/>
          <w:tab w:val="left" w:pos="851"/>
          <w:tab w:val="left" w:pos="993"/>
        </w:tabs>
        <w:spacing w:after="0"/>
        <w:ind w:firstLine="851"/>
        <w:jc w:val="both"/>
        <w:rPr>
          <w:szCs w:val="28"/>
        </w:rPr>
      </w:pPr>
      <w:r w:rsidRPr="000D6BCC">
        <w:rPr>
          <w:szCs w:val="28"/>
        </w:rPr>
        <w:t>обсяг капітальних інвестицій за рахунок усіх джерел фіна</w:t>
      </w:r>
      <w:r>
        <w:rPr>
          <w:szCs w:val="28"/>
        </w:rPr>
        <w:t>н</w:t>
      </w:r>
      <w:r w:rsidRPr="000D6BCC">
        <w:rPr>
          <w:szCs w:val="28"/>
        </w:rPr>
        <w:t xml:space="preserve">сування – </w:t>
      </w:r>
      <w:r>
        <w:rPr>
          <w:szCs w:val="28"/>
        </w:rPr>
        <w:t xml:space="preserve">   36 446,8</w:t>
      </w:r>
      <w:r w:rsidRPr="000D6BCC">
        <w:rPr>
          <w:szCs w:val="28"/>
        </w:rPr>
        <w:t xml:space="preserve"> </w:t>
      </w:r>
      <w:proofErr w:type="spellStart"/>
      <w:r w:rsidRPr="000D6BCC">
        <w:rPr>
          <w:szCs w:val="28"/>
        </w:rPr>
        <w:t>млн.грн</w:t>
      </w:r>
      <w:proofErr w:type="spellEnd"/>
      <w:r w:rsidRPr="000D6BCC">
        <w:rPr>
          <w:szCs w:val="28"/>
        </w:rPr>
        <w:t xml:space="preserve">, з яких  </w:t>
      </w:r>
      <w:r>
        <w:rPr>
          <w:szCs w:val="28"/>
        </w:rPr>
        <w:t>3 635,8</w:t>
      </w:r>
      <w:r w:rsidRPr="000D6BCC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Pr="000D6BCC">
        <w:rPr>
          <w:szCs w:val="28"/>
        </w:rPr>
        <w:t>млн.грн</w:t>
      </w:r>
      <w:proofErr w:type="spellEnd"/>
      <w:r w:rsidRPr="000D6BCC">
        <w:rPr>
          <w:szCs w:val="28"/>
        </w:rPr>
        <w:t xml:space="preserve"> </w:t>
      </w:r>
      <w:r>
        <w:rPr>
          <w:szCs w:val="28"/>
        </w:rPr>
        <w:t xml:space="preserve"> </w:t>
      </w:r>
      <w:r w:rsidRPr="000D6BCC">
        <w:rPr>
          <w:szCs w:val="28"/>
        </w:rPr>
        <w:t>– інвестиції в основний капітал.</w:t>
      </w:r>
    </w:p>
    <w:p w:rsidR="00032691" w:rsidRPr="000D6BCC" w:rsidRDefault="00032691" w:rsidP="00032691">
      <w:pPr>
        <w:tabs>
          <w:tab w:val="left" w:pos="851"/>
        </w:tabs>
        <w:ind w:firstLine="851"/>
        <w:jc w:val="both"/>
        <w:rPr>
          <w:szCs w:val="28"/>
        </w:rPr>
      </w:pPr>
      <w:r w:rsidRPr="000D6BCC">
        <w:rPr>
          <w:szCs w:val="28"/>
        </w:rPr>
        <w:t xml:space="preserve">Головною метою економічного і соціального розвитку </w:t>
      </w:r>
      <w:r>
        <w:rPr>
          <w:szCs w:val="28"/>
        </w:rPr>
        <w:t xml:space="preserve">об’єднаної територіальної громади </w:t>
      </w:r>
      <w:r w:rsidRPr="000D6BCC">
        <w:rPr>
          <w:szCs w:val="28"/>
        </w:rPr>
        <w:t xml:space="preserve"> в 20</w:t>
      </w:r>
      <w:r>
        <w:rPr>
          <w:szCs w:val="28"/>
        </w:rPr>
        <w:t>20</w:t>
      </w:r>
      <w:r w:rsidRPr="000D6BCC">
        <w:rPr>
          <w:szCs w:val="28"/>
        </w:rPr>
        <w:t xml:space="preserve"> році є забезпечення стандартів комфортного проживання мешканців через створення сприятливих умов для розвитку промислового виробництва, малого та середнього бізнесу, модернізацію систем забезпечення життєдіяльності </w:t>
      </w:r>
      <w:r>
        <w:rPr>
          <w:szCs w:val="28"/>
        </w:rPr>
        <w:t>населених пунктів</w:t>
      </w:r>
      <w:r w:rsidRPr="000D6BCC">
        <w:rPr>
          <w:szCs w:val="28"/>
        </w:rPr>
        <w:t>, сприяння залученню інвестицій, поширення стандартів здорового способу життя, якості медичних послуг, рівня освіти, культури та соціального захисту.</w:t>
      </w:r>
    </w:p>
    <w:p w:rsidR="00032691" w:rsidRDefault="00032691" w:rsidP="00032691">
      <w:pPr>
        <w:tabs>
          <w:tab w:val="left" w:pos="851"/>
        </w:tabs>
        <w:ind w:firstLine="851"/>
        <w:jc w:val="both"/>
        <w:rPr>
          <w:szCs w:val="28"/>
        </w:rPr>
      </w:pPr>
      <w:r w:rsidRPr="00E76564">
        <w:rPr>
          <w:szCs w:val="28"/>
        </w:rPr>
        <w:t xml:space="preserve">Промисловими підприємствами міста у плановому році передбачається реалізувати промислової продукції у відпускних цінах на </w:t>
      </w:r>
      <w:r w:rsidR="00C94747">
        <w:rPr>
          <w:szCs w:val="28"/>
        </w:rPr>
        <w:t xml:space="preserve">      </w:t>
      </w:r>
      <w:r w:rsidRPr="00E76564">
        <w:rPr>
          <w:szCs w:val="28"/>
        </w:rPr>
        <w:t>8</w:t>
      </w:r>
      <w:r>
        <w:rPr>
          <w:szCs w:val="28"/>
        </w:rPr>
        <w:t xml:space="preserve"> 80</w:t>
      </w:r>
      <w:r w:rsidRPr="00E76564">
        <w:rPr>
          <w:szCs w:val="28"/>
        </w:rPr>
        <w:t>0,0 мл</w:t>
      </w:r>
      <w:r>
        <w:rPr>
          <w:szCs w:val="28"/>
        </w:rPr>
        <w:t>н</w:t>
      </w:r>
      <w:r w:rsidRPr="00E76564">
        <w:rPr>
          <w:szCs w:val="28"/>
        </w:rPr>
        <w:t>. грн</w:t>
      </w:r>
      <w:r>
        <w:rPr>
          <w:szCs w:val="28"/>
        </w:rPr>
        <w:t>.</w:t>
      </w:r>
      <w:r w:rsidRPr="00E76564">
        <w:rPr>
          <w:color w:val="FF0000"/>
          <w:szCs w:val="28"/>
        </w:rPr>
        <w:t xml:space="preserve">  </w:t>
      </w:r>
      <w:r w:rsidRPr="00E76564">
        <w:rPr>
          <w:szCs w:val="28"/>
        </w:rPr>
        <w:t xml:space="preserve">Обсяг капітальних інвестицій в промисловості за рахунок усіх джерел фінансування становитиме 3644,8 млн. </w:t>
      </w:r>
      <w:proofErr w:type="spellStart"/>
      <w:r w:rsidRPr="00E76564">
        <w:rPr>
          <w:szCs w:val="28"/>
        </w:rPr>
        <w:t>грн</w:t>
      </w:r>
      <w:proofErr w:type="spellEnd"/>
      <w:r w:rsidRPr="00E76564">
        <w:rPr>
          <w:szCs w:val="28"/>
        </w:rPr>
        <w:t xml:space="preserve">, з яких 3635,8 </w:t>
      </w:r>
      <w:proofErr w:type="spellStart"/>
      <w:r w:rsidRPr="00E76564">
        <w:rPr>
          <w:szCs w:val="28"/>
        </w:rPr>
        <w:t>млн.грн</w:t>
      </w:r>
      <w:proofErr w:type="spellEnd"/>
      <w:r w:rsidRPr="00E76564">
        <w:rPr>
          <w:szCs w:val="28"/>
        </w:rPr>
        <w:t xml:space="preserve"> – капітальні інвестиції в основний капітал.</w:t>
      </w:r>
    </w:p>
    <w:p w:rsidR="00032691" w:rsidRPr="00AC1558" w:rsidRDefault="00032691" w:rsidP="00032691">
      <w:pPr>
        <w:tabs>
          <w:tab w:val="left" w:pos="851"/>
        </w:tabs>
        <w:ind w:firstLine="709"/>
        <w:jc w:val="both"/>
        <w:rPr>
          <w:sz w:val="8"/>
          <w:szCs w:val="8"/>
        </w:rPr>
      </w:pPr>
      <w:r w:rsidRPr="000D6BCC">
        <w:rPr>
          <w:szCs w:val="28"/>
        </w:rPr>
        <w:t xml:space="preserve">      </w:t>
      </w:r>
      <w:r w:rsidRPr="000D6BCC">
        <w:rPr>
          <w:szCs w:val="28"/>
          <w:highlight w:val="yellow"/>
        </w:rPr>
        <w:t xml:space="preserve">     </w:t>
      </w:r>
      <w:r w:rsidRPr="00AC1558">
        <w:rPr>
          <w:sz w:val="8"/>
          <w:szCs w:val="8"/>
          <w:highlight w:val="yellow"/>
        </w:rPr>
        <w:t xml:space="preserve">   </w:t>
      </w:r>
      <w:r w:rsidRPr="00AC1558">
        <w:rPr>
          <w:sz w:val="8"/>
          <w:szCs w:val="8"/>
        </w:rPr>
        <w:t xml:space="preserve">                                                                                                        </w:t>
      </w:r>
    </w:p>
    <w:p w:rsidR="00032691" w:rsidRDefault="00032691" w:rsidP="00032691">
      <w:pPr>
        <w:pStyle w:val="ad"/>
        <w:tabs>
          <w:tab w:val="left" w:pos="851"/>
        </w:tabs>
        <w:spacing w:after="0"/>
        <w:jc w:val="center"/>
        <w:rPr>
          <w:b/>
        </w:rPr>
      </w:pPr>
      <w:r w:rsidRPr="002F2544">
        <w:rPr>
          <w:b/>
        </w:rPr>
        <w:t xml:space="preserve">Основні прогнозні показники </w:t>
      </w:r>
      <w:r>
        <w:rPr>
          <w:b/>
        </w:rPr>
        <w:t>соціально-економічного</w:t>
      </w:r>
    </w:p>
    <w:p w:rsidR="00032691" w:rsidRDefault="00032691" w:rsidP="00032691">
      <w:pPr>
        <w:pStyle w:val="ad"/>
        <w:tabs>
          <w:tab w:val="left" w:pos="851"/>
        </w:tabs>
        <w:spacing w:after="0"/>
        <w:jc w:val="center"/>
        <w:rPr>
          <w:b/>
        </w:rPr>
      </w:pPr>
      <w:r>
        <w:rPr>
          <w:b/>
        </w:rPr>
        <w:t xml:space="preserve"> розвитку територіальної громади на 2021 -2022 роки</w:t>
      </w:r>
    </w:p>
    <w:tbl>
      <w:tblPr>
        <w:tblW w:w="982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6182"/>
        <w:gridCol w:w="1813"/>
        <w:gridCol w:w="1833"/>
      </w:tblGrid>
      <w:tr w:rsidR="00032691" w:rsidRPr="004E3E6E" w:rsidTr="008A59BD">
        <w:trPr>
          <w:trHeight w:val="375"/>
          <w:tblCellSpacing w:w="20" w:type="dxa"/>
        </w:trPr>
        <w:tc>
          <w:tcPr>
            <w:tcW w:w="6122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ind w:right="-648"/>
              <w:jc w:val="center"/>
              <w:rPr>
                <w:b/>
                <w:sz w:val="25"/>
                <w:szCs w:val="25"/>
              </w:rPr>
            </w:pPr>
            <w:r w:rsidRPr="00E94551">
              <w:rPr>
                <w:b/>
                <w:sz w:val="25"/>
                <w:szCs w:val="25"/>
              </w:rPr>
              <w:t>Найменування показника</w:t>
            </w:r>
          </w:p>
        </w:tc>
        <w:tc>
          <w:tcPr>
            <w:tcW w:w="1773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jc w:val="center"/>
              <w:rPr>
                <w:b/>
                <w:sz w:val="25"/>
                <w:szCs w:val="25"/>
              </w:rPr>
            </w:pPr>
            <w:r w:rsidRPr="00E94551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21</w:t>
            </w:r>
            <w:r w:rsidRPr="00E94551">
              <w:rPr>
                <w:b/>
                <w:sz w:val="25"/>
                <w:szCs w:val="25"/>
              </w:rPr>
              <w:t xml:space="preserve"> рік</w:t>
            </w:r>
          </w:p>
        </w:tc>
        <w:tc>
          <w:tcPr>
            <w:tcW w:w="1773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jc w:val="center"/>
              <w:rPr>
                <w:b/>
                <w:sz w:val="25"/>
                <w:szCs w:val="25"/>
              </w:rPr>
            </w:pPr>
            <w:r w:rsidRPr="00E94551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>22</w:t>
            </w:r>
            <w:r w:rsidRPr="00E94551">
              <w:rPr>
                <w:b/>
                <w:sz w:val="25"/>
                <w:szCs w:val="25"/>
              </w:rPr>
              <w:t xml:space="preserve"> рік</w:t>
            </w:r>
          </w:p>
        </w:tc>
      </w:tr>
      <w:tr w:rsidR="00032691" w:rsidRPr="004E3E6E" w:rsidTr="008A59BD">
        <w:trPr>
          <w:tblCellSpacing w:w="20" w:type="dxa"/>
        </w:trPr>
        <w:tc>
          <w:tcPr>
            <w:tcW w:w="6122" w:type="dxa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 xml:space="preserve">Обсяг реалізованої промислової продукції у відпускних цінах підприємств,  млн. </w:t>
            </w:r>
            <w:proofErr w:type="spellStart"/>
            <w:r w:rsidRPr="00E94551">
              <w:rPr>
                <w:sz w:val="25"/>
                <w:szCs w:val="25"/>
              </w:rPr>
              <w:t>грн</w:t>
            </w:r>
            <w:proofErr w:type="spellEnd"/>
          </w:p>
        </w:tc>
        <w:tc>
          <w:tcPr>
            <w:tcW w:w="1773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8 900,0</w:t>
            </w:r>
          </w:p>
        </w:tc>
        <w:tc>
          <w:tcPr>
            <w:tcW w:w="1773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9 000,</w:t>
            </w:r>
            <w:r w:rsidRPr="00E94551">
              <w:rPr>
                <w:sz w:val="25"/>
                <w:szCs w:val="25"/>
              </w:rPr>
              <w:t>0</w:t>
            </w:r>
          </w:p>
        </w:tc>
      </w:tr>
      <w:tr w:rsidR="00032691" w:rsidRPr="004E3E6E" w:rsidTr="008A59BD">
        <w:trPr>
          <w:tblCellSpacing w:w="20" w:type="dxa"/>
        </w:trPr>
        <w:tc>
          <w:tcPr>
            <w:tcW w:w="6122" w:type="dxa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>В</w:t>
            </w:r>
            <w:r>
              <w:rPr>
                <w:sz w:val="25"/>
                <w:szCs w:val="25"/>
              </w:rPr>
              <w:t>иробництво</w:t>
            </w:r>
            <w:r w:rsidRPr="00E94551">
              <w:rPr>
                <w:sz w:val="25"/>
                <w:szCs w:val="25"/>
              </w:rPr>
              <w:t xml:space="preserve"> промислової продукції в натуральних показниках:</w:t>
            </w:r>
          </w:p>
          <w:p w:rsidR="00032691" w:rsidRPr="00E94551" w:rsidRDefault="00032691" w:rsidP="008A59BD">
            <w:pPr>
              <w:pStyle w:val="ad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 xml:space="preserve">електроенергія,  </w:t>
            </w:r>
            <w:proofErr w:type="spellStart"/>
            <w:r w:rsidRPr="00E94551">
              <w:rPr>
                <w:sz w:val="25"/>
                <w:szCs w:val="25"/>
              </w:rPr>
              <w:t>млн.кВт.год</w:t>
            </w:r>
            <w:proofErr w:type="spellEnd"/>
            <w:r w:rsidRPr="00E94551">
              <w:rPr>
                <w:sz w:val="25"/>
                <w:szCs w:val="25"/>
              </w:rPr>
              <w:t>.</w:t>
            </w:r>
          </w:p>
          <w:p w:rsidR="00032691" w:rsidRPr="00E94551" w:rsidRDefault="00032691" w:rsidP="008A59BD">
            <w:pPr>
              <w:pStyle w:val="ad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 xml:space="preserve">теплоенергія,  тис. </w:t>
            </w:r>
            <w:proofErr w:type="spellStart"/>
            <w:r w:rsidRPr="00E94551">
              <w:rPr>
                <w:sz w:val="25"/>
                <w:szCs w:val="25"/>
              </w:rPr>
              <w:t>Гкал</w:t>
            </w:r>
            <w:proofErr w:type="spellEnd"/>
            <w:r w:rsidRPr="00E94551">
              <w:rPr>
                <w:sz w:val="25"/>
                <w:szCs w:val="25"/>
              </w:rPr>
              <w:t>.</w:t>
            </w:r>
          </w:p>
          <w:p w:rsidR="00032691" w:rsidRPr="00E94551" w:rsidRDefault="00032691" w:rsidP="008A59BD">
            <w:pPr>
              <w:pStyle w:val="ad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>хлібобулочні вироби,  тонн</w:t>
            </w:r>
          </w:p>
        </w:tc>
        <w:tc>
          <w:tcPr>
            <w:tcW w:w="1773" w:type="dxa"/>
            <w:vAlign w:val="center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b/>
                <w:sz w:val="25"/>
                <w:szCs w:val="25"/>
              </w:rPr>
            </w:pPr>
          </w:p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b/>
                <w:sz w:val="25"/>
                <w:szCs w:val="25"/>
              </w:rPr>
            </w:pPr>
          </w:p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22 230,0</w:t>
            </w:r>
          </w:p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353,7</w:t>
            </w:r>
          </w:p>
          <w:p w:rsidR="00032691" w:rsidRPr="00E94551" w:rsidRDefault="00032691" w:rsidP="008A59BD">
            <w:pPr>
              <w:pStyle w:val="ad"/>
              <w:tabs>
                <w:tab w:val="left" w:pos="851"/>
                <w:tab w:val="left" w:pos="1231"/>
                <w:tab w:val="left" w:pos="1381"/>
              </w:tabs>
              <w:spacing w:after="0"/>
              <w:jc w:val="right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3 590,0</w:t>
            </w:r>
          </w:p>
        </w:tc>
        <w:tc>
          <w:tcPr>
            <w:tcW w:w="1773" w:type="dxa"/>
            <w:vAlign w:val="center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</w:p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</w:p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23 110,0</w:t>
            </w:r>
          </w:p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353,8</w:t>
            </w:r>
          </w:p>
          <w:p w:rsidR="00032691" w:rsidRPr="00E94551" w:rsidRDefault="00032691" w:rsidP="008A59BD">
            <w:pPr>
              <w:pStyle w:val="ad"/>
              <w:tabs>
                <w:tab w:val="left" w:pos="851"/>
                <w:tab w:val="left" w:pos="1228"/>
              </w:tabs>
              <w:spacing w:after="0"/>
              <w:jc w:val="right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3 794,0</w:t>
            </w:r>
          </w:p>
        </w:tc>
      </w:tr>
      <w:tr w:rsidR="00032691" w:rsidRPr="004E3E6E" w:rsidTr="008A59BD">
        <w:trPr>
          <w:tblCellSpacing w:w="20" w:type="dxa"/>
        </w:trPr>
        <w:tc>
          <w:tcPr>
            <w:tcW w:w="6122" w:type="dxa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t>Обсяг будівельних робіт, виконаних власними силами будівельних організацій,  млн. грн.</w:t>
            </w:r>
          </w:p>
        </w:tc>
        <w:tc>
          <w:tcPr>
            <w:tcW w:w="1773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270,0</w:t>
            </w:r>
          </w:p>
        </w:tc>
        <w:tc>
          <w:tcPr>
            <w:tcW w:w="1773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851"/>
                <w:tab w:val="left" w:pos="1033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280,0</w:t>
            </w:r>
          </w:p>
        </w:tc>
      </w:tr>
      <w:tr w:rsidR="00032691" w:rsidRPr="004E3E6E" w:rsidTr="008A59BD">
        <w:trPr>
          <w:tblCellSpacing w:w="20" w:type="dxa"/>
        </w:trPr>
        <w:tc>
          <w:tcPr>
            <w:tcW w:w="6122" w:type="dxa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 w:rsidRPr="00E94551">
              <w:rPr>
                <w:sz w:val="25"/>
                <w:szCs w:val="25"/>
              </w:rPr>
              <w:lastRenderedPageBreak/>
              <w:t xml:space="preserve">Обсяг капітальних інвестицій за рахунок усіх джерел фінансування,  </w:t>
            </w:r>
            <w:proofErr w:type="spellStart"/>
            <w:r w:rsidRPr="00E94551">
              <w:rPr>
                <w:sz w:val="25"/>
                <w:szCs w:val="25"/>
              </w:rPr>
              <w:t>млн.грн</w:t>
            </w:r>
            <w:proofErr w:type="spellEnd"/>
            <w:r w:rsidRPr="00E94551">
              <w:rPr>
                <w:sz w:val="25"/>
                <w:szCs w:val="25"/>
              </w:rPr>
              <w:t>.</w:t>
            </w:r>
          </w:p>
        </w:tc>
        <w:tc>
          <w:tcPr>
            <w:tcW w:w="1773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851"/>
                <w:tab w:val="left" w:pos="1009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60,0</w:t>
            </w:r>
          </w:p>
        </w:tc>
        <w:tc>
          <w:tcPr>
            <w:tcW w:w="1773" w:type="dxa"/>
            <w:vAlign w:val="bottom"/>
          </w:tcPr>
          <w:p w:rsidR="00032691" w:rsidRPr="00E94551" w:rsidRDefault="00032691" w:rsidP="008A59BD">
            <w:pPr>
              <w:pStyle w:val="ad"/>
              <w:tabs>
                <w:tab w:val="left" w:pos="658"/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60,0</w:t>
            </w:r>
          </w:p>
        </w:tc>
      </w:tr>
      <w:tr w:rsidR="00032691" w:rsidRPr="004E3E6E" w:rsidTr="008A59BD">
        <w:trPr>
          <w:tblCellSpacing w:w="20" w:type="dxa"/>
        </w:trPr>
        <w:tc>
          <w:tcPr>
            <w:tcW w:w="6122" w:type="dxa"/>
          </w:tcPr>
          <w:p w:rsidR="00032691" w:rsidRPr="00E94551" w:rsidRDefault="00032691" w:rsidP="008A59BD">
            <w:pPr>
              <w:pStyle w:val="ad"/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Обсяг прибутку підприємств комунальної власності,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</w:p>
        </w:tc>
        <w:tc>
          <w:tcPr>
            <w:tcW w:w="1773" w:type="dxa"/>
            <w:vAlign w:val="bottom"/>
          </w:tcPr>
          <w:p w:rsidR="0003269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1 846,3</w:t>
            </w:r>
          </w:p>
        </w:tc>
        <w:tc>
          <w:tcPr>
            <w:tcW w:w="1773" w:type="dxa"/>
            <w:vAlign w:val="bottom"/>
          </w:tcPr>
          <w:p w:rsidR="00032691" w:rsidRDefault="00032691" w:rsidP="008A59BD">
            <w:pPr>
              <w:pStyle w:val="ad"/>
              <w:tabs>
                <w:tab w:val="left" w:pos="851"/>
                <w:tab w:val="left" w:pos="1293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1 846,3</w:t>
            </w:r>
          </w:p>
        </w:tc>
      </w:tr>
      <w:tr w:rsidR="00032691" w:rsidRPr="004E3E6E" w:rsidTr="008A59BD">
        <w:trPr>
          <w:tblCellSpacing w:w="20" w:type="dxa"/>
        </w:trPr>
        <w:tc>
          <w:tcPr>
            <w:tcW w:w="6122" w:type="dxa"/>
          </w:tcPr>
          <w:p w:rsidR="00032691" w:rsidRDefault="00032691" w:rsidP="008A59BD">
            <w:pPr>
              <w:pStyle w:val="ad"/>
              <w:tabs>
                <w:tab w:val="left" w:pos="851"/>
              </w:tabs>
              <w:spacing w:after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Середньомісячна номінальна заробітна плата одного працівника, </w:t>
            </w:r>
            <w:proofErr w:type="spellStart"/>
            <w:r>
              <w:rPr>
                <w:sz w:val="25"/>
                <w:szCs w:val="25"/>
              </w:rPr>
              <w:t>грн</w:t>
            </w:r>
            <w:proofErr w:type="spellEnd"/>
          </w:p>
        </w:tc>
        <w:tc>
          <w:tcPr>
            <w:tcW w:w="1773" w:type="dxa"/>
            <w:vAlign w:val="bottom"/>
          </w:tcPr>
          <w:p w:rsidR="00032691" w:rsidRDefault="00032691" w:rsidP="008A59BD">
            <w:pPr>
              <w:pStyle w:val="ad"/>
              <w:tabs>
                <w:tab w:val="left" w:pos="851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16 000,0</w:t>
            </w:r>
          </w:p>
        </w:tc>
        <w:tc>
          <w:tcPr>
            <w:tcW w:w="1773" w:type="dxa"/>
            <w:vAlign w:val="bottom"/>
          </w:tcPr>
          <w:p w:rsidR="00032691" w:rsidRDefault="00032691" w:rsidP="008A59BD">
            <w:pPr>
              <w:pStyle w:val="ad"/>
              <w:tabs>
                <w:tab w:val="left" w:pos="851"/>
                <w:tab w:val="left" w:pos="1293"/>
              </w:tabs>
              <w:spacing w:after="0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16 800,0</w:t>
            </w:r>
          </w:p>
        </w:tc>
      </w:tr>
    </w:tbl>
    <w:p w:rsidR="00032691" w:rsidRPr="005E2A47" w:rsidRDefault="00032691" w:rsidP="00032691">
      <w:pPr>
        <w:pStyle w:val="ad"/>
        <w:tabs>
          <w:tab w:val="left" w:pos="851"/>
        </w:tabs>
        <w:spacing w:after="0"/>
        <w:jc w:val="both"/>
        <w:rPr>
          <w:b/>
          <w:sz w:val="8"/>
          <w:szCs w:val="8"/>
        </w:rPr>
      </w:pPr>
      <w:r>
        <w:rPr>
          <w:b/>
        </w:rPr>
        <w:t xml:space="preserve">  </w:t>
      </w:r>
    </w:p>
    <w:p w:rsidR="00032691" w:rsidRPr="00EC197C" w:rsidRDefault="00032691" w:rsidP="00032691">
      <w:pPr>
        <w:pStyle w:val="ad"/>
        <w:tabs>
          <w:tab w:val="left" w:pos="851"/>
        </w:tabs>
        <w:spacing w:after="0"/>
        <w:jc w:val="center"/>
        <w:rPr>
          <w:b/>
          <w:szCs w:val="28"/>
        </w:rPr>
      </w:pPr>
      <w:r w:rsidRPr="00AF62CB">
        <w:rPr>
          <w:b/>
        </w:rPr>
        <w:t xml:space="preserve">Індикативні прогнозні показники </w:t>
      </w:r>
      <w:r>
        <w:rPr>
          <w:b/>
        </w:rPr>
        <w:t>бюджету міської об</w:t>
      </w:r>
      <w:r w:rsidRPr="005E2A47">
        <w:rPr>
          <w:b/>
        </w:rPr>
        <w:t>’</w:t>
      </w:r>
      <w:r>
        <w:rPr>
          <w:b/>
        </w:rPr>
        <w:t>єднаної</w:t>
      </w:r>
      <w:r w:rsidRPr="00AF62CB">
        <w:rPr>
          <w:b/>
        </w:rPr>
        <w:t xml:space="preserve"> </w:t>
      </w:r>
      <w:r>
        <w:rPr>
          <w:b/>
        </w:rPr>
        <w:t xml:space="preserve">територіальної громади  </w:t>
      </w:r>
      <w:r w:rsidRPr="00EC197C">
        <w:rPr>
          <w:b/>
          <w:szCs w:val="28"/>
        </w:rPr>
        <w:t>на 2021 і 2022 роки</w:t>
      </w:r>
    </w:p>
    <w:p w:rsidR="00032691" w:rsidRDefault="00032691" w:rsidP="00032691">
      <w:pPr>
        <w:tabs>
          <w:tab w:val="left" w:pos="567"/>
          <w:tab w:val="left" w:pos="709"/>
        </w:tabs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</w:t>
      </w:r>
      <w:r w:rsidRPr="008E184A">
        <w:rPr>
          <w:color w:val="000000"/>
          <w:szCs w:val="28"/>
          <w:lang w:eastAsia="uk-UA"/>
        </w:rPr>
        <w:t>Прогноз</w:t>
      </w:r>
      <w:r>
        <w:rPr>
          <w:color w:val="000000"/>
          <w:szCs w:val="28"/>
          <w:lang w:eastAsia="uk-UA"/>
        </w:rPr>
        <w:t>ні показники</w:t>
      </w:r>
      <w:r w:rsidRPr="008E184A">
        <w:rPr>
          <w:color w:val="000000"/>
          <w:szCs w:val="28"/>
          <w:lang w:eastAsia="uk-UA"/>
        </w:rPr>
        <w:t xml:space="preserve"> доходів бюджет</w:t>
      </w:r>
      <w:r>
        <w:rPr>
          <w:color w:val="000000"/>
          <w:szCs w:val="28"/>
          <w:lang w:eastAsia="uk-UA"/>
        </w:rPr>
        <w:t xml:space="preserve">у міста на 2021 і 2022 роки </w:t>
      </w:r>
      <w:r w:rsidRPr="008E184A">
        <w:rPr>
          <w:color w:val="000000"/>
          <w:szCs w:val="28"/>
          <w:lang w:eastAsia="uk-UA"/>
        </w:rPr>
        <w:t xml:space="preserve">розроблено з урахуванням </w:t>
      </w:r>
      <w:r>
        <w:rPr>
          <w:color w:val="000000"/>
          <w:szCs w:val="28"/>
          <w:lang w:eastAsia="uk-UA"/>
        </w:rPr>
        <w:t xml:space="preserve">основних </w:t>
      </w:r>
      <w:proofErr w:type="spellStart"/>
      <w:r>
        <w:rPr>
          <w:color w:val="000000"/>
          <w:szCs w:val="28"/>
          <w:lang w:eastAsia="uk-UA"/>
        </w:rPr>
        <w:t>макропоказників</w:t>
      </w:r>
      <w:proofErr w:type="spellEnd"/>
      <w:r>
        <w:rPr>
          <w:color w:val="000000"/>
          <w:szCs w:val="28"/>
          <w:lang w:eastAsia="uk-UA"/>
        </w:rPr>
        <w:t xml:space="preserve"> економічного і соціального розвитку України на 2021 і 2022 роки</w:t>
      </w:r>
      <w:r>
        <w:t>,</w:t>
      </w:r>
      <w:r>
        <w:rPr>
          <w:color w:val="000000"/>
          <w:szCs w:val="28"/>
          <w:lang w:eastAsia="uk-UA"/>
        </w:rPr>
        <w:t xml:space="preserve"> прогнозних даних </w:t>
      </w:r>
      <w:r w:rsidRPr="008E184A">
        <w:rPr>
          <w:color w:val="000000"/>
          <w:szCs w:val="28"/>
          <w:lang w:eastAsia="uk-UA"/>
        </w:rPr>
        <w:t xml:space="preserve">економічного і соціального розвитку </w:t>
      </w:r>
      <w:r>
        <w:rPr>
          <w:color w:val="000000"/>
          <w:szCs w:val="28"/>
          <w:lang w:eastAsia="uk-UA"/>
        </w:rPr>
        <w:t>територіальної громади</w:t>
      </w:r>
      <w:r w:rsidRPr="008E184A">
        <w:rPr>
          <w:color w:val="000000"/>
          <w:szCs w:val="28"/>
          <w:lang w:eastAsia="uk-UA"/>
        </w:rPr>
        <w:t xml:space="preserve"> на 20</w:t>
      </w:r>
      <w:r>
        <w:rPr>
          <w:color w:val="000000"/>
          <w:szCs w:val="28"/>
          <w:lang w:eastAsia="uk-UA"/>
        </w:rPr>
        <w:t xml:space="preserve">20 - 2022 роки, вимог діючого податкового і бюджетного законодавства, а також </w:t>
      </w:r>
      <w:r>
        <w:rPr>
          <w:szCs w:val="28"/>
        </w:rPr>
        <w:t xml:space="preserve">аналітичних даних про </w:t>
      </w:r>
      <w:r w:rsidRPr="00626765">
        <w:rPr>
          <w:iCs/>
          <w:szCs w:val="28"/>
        </w:rPr>
        <w:t>фактичн</w:t>
      </w:r>
      <w:r>
        <w:rPr>
          <w:iCs/>
          <w:szCs w:val="28"/>
        </w:rPr>
        <w:t>е</w:t>
      </w:r>
      <w:r w:rsidRPr="00626765">
        <w:rPr>
          <w:iCs/>
          <w:szCs w:val="28"/>
        </w:rPr>
        <w:t xml:space="preserve"> виконання доходної частини бюджету у 201</w:t>
      </w:r>
      <w:r>
        <w:rPr>
          <w:iCs/>
          <w:szCs w:val="28"/>
        </w:rPr>
        <w:t>7 і</w:t>
      </w:r>
      <w:r w:rsidRPr="00626765">
        <w:rPr>
          <w:iCs/>
          <w:szCs w:val="28"/>
        </w:rPr>
        <w:t xml:space="preserve"> 201</w:t>
      </w:r>
      <w:r>
        <w:rPr>
          <w:iCs/>
          <w:szCs w:val="28"/>
        </w:rPr>
        <w:t>8</w:t>
      </w:r>
      <w:r w:rsidRPr="00626765">
        <w:rPr>
          <w:iCs/>
          <w:szCs w:val="28"/>
        </w:rPr>
        <w:t xml:space="preserve"> роках, очікуван</w:t>
      </w:r>
      <w:r>
        <w:rPr>
          <w:iCs/>
          <w:szCs w:val="28"/>
        </w:rPr>
        <w:t xml:space="preserve">их показників </w:t>
      </w:r>
      <w:r w:rsidRPr="00626765">
        <w:rPr>
          <w:iCs/>
          <w:szCs w:val="28"/>
        </w:rPr>
        <w:t>виконання доходної частини бюджету у 201</w:t>
      </w:r>
      <w:r>
        <w:rPr>
          <w:iCs/>
          <w:szCs w:val="28"/>
        </w:rPr>
        <w:t xml:space="preserve">9 </w:t>
      </w:r>
      <w:r w:rsidRPr="00626765">
        <w:rPr>
          <w:iCs/>
          <w:szCs w:val="28"/>
        </w:rPr>
        <w:t>році та</w:t>
      </w:r>
      <w:r w:rsidRPr="00626765">
        <w:rPr>
          <w:szCs w:val="28"/>
        </w:rPr>
        <w:t xml:space="preserve"> прогнозн</w:t>
      </w:r>
      <w:r>
        <w:rPr>
          <w:szCs w:val="28"/>
        </w:rPr>
        <w:t>их</w:t>
      </w:r>
      <w:r w:rsidRPr="00626765">
        <w:rPr>
          <w:szCs w:val="28"/>
        </w:rPr>
        <w:t xml:space="preserve"> розрахунк</w:t>
      </w:r>
      <w:r>
        <w:rPr>
          <w:szCs w:val="28"/>
        </w:rPr>
        <w:t>ів</w:t>
      </w:r>
      <w:r w:rsidRPr="00626765">
        <w:rPr>
          <w:szCs w:val="28"/>
        </w:rPr>
        <w:t xml:space="preserve">  підприємств, установ, організацій міста.</w:t>
      </w:r>
    </w:p>
    <w:p w:rsidR="00032691" w:rsidRDefault="00032691" w:rsidP="00032691">
      <w:pPr>
        <w:tabs>
          <w:tab w:val="left" w:pos="720"/>
        </w:tabs>
        <w:ind w:firstLine="709"/>
        <w:jc w:val="both"/>
        <w:rPr>
          <w:szCs w:val="28"/>
          <w:lang w:eastAsia="uk-UA"/>
        </w:rPr>
      </w:pPr>
      <w:r w:rsidRPr="00C90479">
        <w:rPr>
          <w:szCs w:val="28"/>
          <w:lang w:eastAsia="uk-UA"/>
        </w:rPr>
        <w:t>Прогноз</w:t>
      </w:r>
      <w:r>
        <w:rPr>
          <w:szCs w:val="28"/>
          <w:lang w:eastAsia="uk-UA"/>
        </w:rPr>
        <w:t>ний обсяг</w:t>
      </w:r>
      <w:r w:rsidRPr="00C90479">
        <w:rPr>
          <w:szCs w:val="28"/>
          <w:lang w:eastAsia="uk-UA"/>
        </w:rPr>
        <w:t xml:space="preserve"> доходів бюджет</w:t>
      </w:r>
      <w:r>
        <w:rPr>
          <w:szCs w:val="28"/>
          <w:lang w:eastAsia="uk-UA"/>
        </w:rPr>
        <w:t>у</w:t>
      </w:r>
      <w:r w:rsidRPr="00C90479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територіальної громади </w:t>
      </w:r>
      <w:r w:rsidRPr="00C90479">
        <w:rPr>
          <w:szCs w:val="28"/>
          <w:lang w:eastAsia="uk-UA"/>
        </w:rPr>
        <w:t xml:space="preserve"> </w:t>
      </w:r>
      <w:r w:rsidRPr="001237A2">
        <w:rPr>
          <w:szCs w:val="28"/>
          <w:lang w:eastAsia="uk-UA"/>
        </w:rPr>
        <w:t>(загальний та спеціальний фонди з врахуванням</w:t>
      </w:r>
      <w:r w:rsidRPr="001237A2">
        <w:t xml:space="preserve"> </w:t>
      </w:r>
      <w:r w:rsidRPr="001237A2">
        <w:rPr>
          <w:szCs w:val="28"/>
          <w:lang w:eastAsia="uk-UA"/>
        </w:rPr>
        <w:t xml:space="preserve">освітньої субвенції з державного бюджету місцевим бюджетам, дотації з обласного бюджету на здійснення переданих з державного бюджету видатків з утримання закладів освіти та охорони здоров'я за рахунок відповідної додаткової дотації з державного бюджету та субвенції з місцевого бюджету на здійснення переданих видатків у сфері освіти за рахунок коштів освітньої субвенції) на 2021 рік складає  </w:t>
      </w:r>
      <w:r>
        <w:rPr>
          <w:szCs w:val="28"/>
        </w:rPr>
        <w:t>610 407,9</w:t>
      </w:r>
      <w:r w:rsidRPr="001237A2">
        <w:rPr>
          <w:b/>
          <w:sz w:val="24"/>
          <w:szCs w:val="24"/>
        </w:rPr>
        <w:t xml:space="preserve"> </w:t>
      </w:r>
      <w:r w:rsidRPr="001237A2">
        <w:rPr>
          <w:szCs w:val="28"/>
          <w:lang w:eastAsia="uk-UA"/>
        </w:rPr>
        <w:t xml:space="preserve">тис. </w:t>
      </w:r>
      <w:proofErr w:type="spellStart"/>
      <w:r w:rsidRPr="001237A2">
        <w:rPr>
          <w:szCs w:val="28"/>
          <w:lang w:eastAsia="uk-UA"/>
        </w:rPr>
        <w:t>грн</w:t>
      </w:r>
      <w:proofErr w:type="spellEnd"/>
      <w:r w:rsidRPr="001237A2">
        <w:rPr>
          <w:szCs w:val="28"/>
          <w:lang w:eastAsia="uk-UA"/>
        </w:rPr>
        <w:t xml:space="preserve">,  на 2022 рік – </w:t>
      </w:r>
      <w:r>
        <w:rPr>
          <w:szCs w:val="28"/>
        </w:rPr>
        <w:t>650 334,0</w:t>
      </w:r>
      <w:r w:rsidRPr="001237A2">
        <w:rPr>
          <w:szCs w:val="28"/>
        </w:rPr>
        <w:t xml:space="preserve"> тис</w:t>
      </w:r>
      <w:r w:rsidRPr="001237A2">
        <w:rPr>
          <w:szCs w:val="28"/>
          <w:lang w:eastAsia="uk-UA"/>
        </w:rPr>
        <w:t xml:space="preserve">. грн.  </w:t>
      </w:r>
    </w:p>
    <w:p w:rsidR="00032691" w:rsidRPr="008E184A" w:rsidRDefault="00032691" w:rsidP="00032691">
      <w:pPr>
        <w:tabs>
          <w:tab w:val="left" w:pos="720"/>
        </w:tabs>
        <w:ind w:firstLine="709"/>
        <w:jc w:val="both"/>
      </w:pPr>
      <w:r>
        <w:t xml:space="preserve">                                                      </w:t>
      </w:r>
    </w:p>
    <w:p w:rsidR="00032691" w:rsidRDefault="00032691" w:rsidP="0003269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8E184A">
        <w:rPr>
          <w:sz w:val="28"/>
          <w:szCs w:val="28"/>
        </w:rPr>
        <w:t xml:space="preserve">Індикативні прогнозні показники доходів бюджету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об’єднаної територіальної громади </w:t>
      </w:r>
      <w:r w:rsidRPr="008E184A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8E184A">
        <w:rPr>
          <w:sz w:val="28"/>
          <w:szCs w:val="28"/>
        </w:rPr>
        <w:t xml:space="preserve"> та 20</w:t>
      </w:r>
      <w:r>
        <w:rPr>
          <w:sz w:val="28"/>
          <w:szCs w:val="28"/>
        </w:rPr>
        <w:t>22</w:t>
      </w:r>
      <w:r w:rsidRPr="008E184A">
        <w:rPr>
          <w:sz w:val="28"/>
          <w:szCs w:val="28"/>
        </w:rPr>
        <w:t xml:space="preserve"> роки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78"/>
        <w:gridCol w:w="1164"/>
        <w:gridCol w:w="1491"/>
        <w:gridCol w:w="1549"/>
        <w:gridCol w:w="1792"/>
      </w:tblGrid>
      <w:tr w:rsidR="00032691" w:rsidRPr="00E94551" w:rsidTr="008A59BD">
        <w:trPr>
          <w:tblCellSpacing w:w="15" w:type="dxa"/>
        </w:trPr>
        <w:tc>
          <w:tcPr>
            <w:tcW w:w="1824" w:type="pct"/>
            <w:vMerge w:val="restart"/>
            <w:vAlign w:val="center"/>
          </w:tcPr>
          <w:p w:rsidR="00032691" w:rsidRPr="00E94551" w:rsidRDefault="00032691" w:rsidP="008A59BD">
            <w:pPr>
              <w:jc w:val="center"/>
              <w:rPr>
                <w:b/>
                <w:sz w:val="25"/>
                <w:szCs w:val="25"/>
              </w:rPr>
            </w:pPr>
            <w:r w:rsidRPr="00E94551">
              <w:rPr>
                <w:b/>
                <w:sz w:val="25"/>
                <w:szCs w:val="25"/>
              </w:rPr>
              <w:t>Найменування</w:t>
            </w:r>
          </w:p>
        </w:tc>
        <w:tc>
          <w:tcPr>
            <w:tcW w:w="1379" w:type="pct"/>
            <w:gridSpan w:val="2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sz w:val="25"/>
                <w:szCs w:val="25"/>
              </w:rPr>
            </w:pPr>
            <w:r w:rsidRPr="00E94551">
              <w:rPr>
                <w:rFonts w:eastAsia="Times New Roman"/>
                <w:b/>
                <w:sz w:val="25"/>
                <w:szCs w:val="25"/>
              </w:rPr>
              <w:t>тис. грн.</w:t>
            </w:r>
          </w:p>
        </w:tc>
        <w:tc>
          <w:tcPr>
            <w:tcW w:w="1736" w:type="pct"/>
            <w:gridSpan w:val="2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b/>
                <w:sz w:val="25"/>
                <w:szCs w:val="25"/>
              </w:rPr>
            </w:pPr>
            <w:r>
              <w:rPr>
                <w:rFonts w:eastAsia="Times New Roman"/>
                <w:b/>
                <w:sz w:val="25"/>
                <w:szCs w:val="25"/>
              </w:rPr>
              <w:t>темп</w:t>
            </w:r>
            <w:r w:rsidRPr="00E94551">
              <w:rPr>
                <w:rFonts w:eastAsia="Times New Roman"/>
                <w:b/>
                <w:sz w:val="25"/>
                <w:szCs w:val="25"/>
              </w:rPr>
              <w:t xml:space="preserve"> </w:t>
            </w:r>
            <w:r>
              <w:rPr>
                <w:rFonts w:eastAsia="Times New Roman"/>
                <w:b/>
                <w:sz w:val="25"/>
                <w:szCs w:val="25"/>
              </w:rPr>
              <w:t>приросту, %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Merge/>
            <w:vAlign w:val="center"/>
          </w:tcPr>
          <w:p w:rsidR="00032691" w:rsidRPr="00E94551" w:rsidRDefault="00032691" w:rsidP="008A59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03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>20</w:t>
            </w:r>
            <w:r>
              <w:rPr>
                <w:rFonts w:eastAsia="Times New Roman"/>
                <w:sz w:val="25"/>
                <w:szCs w:val="25"/>
              </w:rPr>
              <w:t>21</w:t>
            </w:r>
            <w:r w:rsidRPr="00E94551">
              <w:rPr>
                <w:rFonts w:eastAsia="Times New Roman"/>
                <w:sz w:val="25"/>
                <w:szCs w:val="25"/>
              </w:rPr>
              <w:t> 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>рік</w:t>
            </w:r>
          </w:p>
        </w:tc>
        <w:tc>
          <w:tcPr>
            <w:tcW w:w="761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ind w:left="81"/>
              <w:jc w:val="center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>20</w:t>
            </w:r>
            <w:r>
              <w:rPr>
                <w:rFonts w:eastAsia="Times New Roman"/>
                <w:sz w:val="25"/>
                <w:szCs w:val="25"/>
              </w:rPr>
              <w:t>22</w:t>
            </w:r>
            <w:r w:rsidRPr="00E94551">
              <w:rPr>
                <w:rFonts w:eastAsia="Times New Roman"/>
                <w:sz w:val="25"/>
                <w:szCs w:val="25"/>
              </w:rPr>
              <w:t> 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>рік</w:t>
            </w:r>
          </w:p>
        </w:tc>
        <w:tc>
          <w:tcPr>
            <w:tcW w:w="807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>прогнозних показників 20</w:t>
            </w:r>
            <w:r>
              <w:rPr>
                <w:rFonts w:eastAsia="Times New Roman"/>
                <w:sz w:val="25"/>
                <w:szCs w:val="25"/>
              </w:rPr>
              <w:t>21</w:t>
            </w:r>
            <w:r w:rsidRPr="00E94551">
              <w:rPr>
                <w:rFonts w:eastAsia="Times New Roman"/>
                <w:sz w:val="25"/>
                <w:szCs w:val="25"/>
              </w:rPr>
              <w:t> 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 xml:space="preserve">року до </w:t>
            </w:r>
            <w:r>
              <w:rPr>
                <w:rFonts w:eastAsia="Times New Roman"/>
                <w:color w:val="000000"/>
                <w:sz w:val="25"/>
                <w:szCs w:val="25"/>
              </w:rPr>
              <w:t>планов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>их показників  20</w:t>
            </w:r>
            <w:r>
              <w:rPr>
                <w:rFonts w:eastAsia="Times New Roman"/>
                <w:color w:val="000000"/>
                <w:sz w:val="25"/>
                <w:szCs w:val="25"/>
              </w:rPr>
              <w:t>20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 xml:space="preserve"> року</w:t>
            </w:r>
          </w:p>
        </w:tc>
        <w:tc>
          <w:tcPr>
            <w:tcW w:w="91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>прогнозних показників 20</w:t>
            </w:r>
            <w:r>
              <w:rPr>
                <w:rFonts w:eastAsia="Times New Roman"/>
                <w:sz w:val="25"/>
                <w:szCs w:val="25"/>
              </w:rPr>
              <w:t>22</w:t>
            </w:r>
            <w:r w:rsidRPr="00E94551">
              <w:rPr>
                <w:rFonts w:eastAsia="Times New Roman"/>
                <w:sz w:val="25"/>
                <w:szCs w:val="25"/>
              </w:rPr>
              <w:t xml:space="preserve"> 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>р</w:t>
            </w:r>
            <w:r>
              <w:rPr>
                <w:rFonts w:eastAsia="Times New Roman"/>
                <w:color w:val="000000"/>
                <w:sz w:val="25"/>
                <w:szCs w:val="25"/>
              </w:rPr>
              <w:t>о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>к</w:t>
            </w:r>
            <w:r>
              <w:rPr>
                <w:rFonts w:eastAsia="Times New Roman"/>
                <w:color w:val="000000"/>
                <w:sz w:val="25"/>
                <w:szCs w:val="25"/>
              </w:rPr>
              <w:t>у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 xml:space="preserve">  до </w:t>
            </w:r>
            <w:r w:rsidRPr="00E94551">
              <w:rPr>
                <w:rFonts w:eastAsia="Times New Roman"/>
                <w:sz w:val="25"/>
                <w:szCs w:val="25"/>
              </w:rPr>
              <w:t xml:space="preserve">прогнозних показників 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>20</w:t>
            </w:r>
            <w:r>
              <w:rPr>
                <w:rFonts w:eastAsia="Times New Roman"/>
                <w:color w:val="000000"/>
                <w:sz w:val="25"/>
                <w:szCs w:val="25"/>
              </w:rPr>
              <w:t>21</w:t>
            </w:r>
            <w:r w:rsidRPr="00E94551">
              <w:rPr>
                <w:rFonts w:eastAsia="Times New Roman"/>
                <w:color w:val="000000"/>
                <w:sz w:val="25"/>
                <w:szCs w:val="25"/>
              </w:rPr>
              <w:t xml:space="preserve"> року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Default="00032691" w:rsidP="008A59BD">
            <w:pPr>
              <w:pStyle w:val="a3"/>
              <w:spacing w:before="0" w:beforeAutospacing="0" w:after="0" w:afterAutospacing="0"/>
              <w:rPr>
                <w:rFonts w:eastAsia="Times New Roman"/>
                <w:b/>
                <w:sz w:val="25"/>
                <w:szCs w:val="25"/>
              </w:rPr>
            </w:pPr>
            <w:r w:rsidRPr="00E94551">
              <w:rPr>
                <w:rFonts w:eastAsia="Times New Roman"/>
                <w:b/>
                <w:sz w:val="25"/>
                <w:szCs w:val="25"/>
              </w:rPr>
              <w:t xml:space="preserve">Загальний обсяг доходів,   </w:t>
            </w:r>
          </w:p>
          <w:p w:rsidR="00032691" w:rsidRPr="00E94551" w:rsidRDefault="00032691" w:rsidP="008A59BD">
            <w:pPr>
              <w:pStyle w:val="a3"/>
              <w:spacing w:before="0" w:beforeAutospacing="0" w:after="0" w:afterAutospacing="0"/>
              <w:rPr>
                <w:rFonts w:eastAsia="Times New Roman"/>
                <w:b/>
                <w:sz w:val="25"/>
                <w:szCs w:val="25"/>
              </w:rPr>
            </w:pPr>
            <w:r w:rsidRPr="00E94551">
              <w:rPr>
                <w:rFonts w:eastAsia="Times New Roman"/>
                <w:b/>
                <w:sz w:val="25"/>
                <w:szCs w:val="25"/>
              </w:rPr>
              <w:t xml:space="preserve"> з них:</w:t>
            </w:r>
          </w:p>
        </w:tc>
        <w:tc>
          <w:tcPr>
            <w:tcW w:w="603" w:type="pct"/>
            <w:vAlign w:val="bottom"/>
          </w:tcPr>
          <w:p w:rsidR="00032691" w:rsidRPr="00F75BB6" w:rsidRDefault="00032691" w:rsidP="008A59BD">
            <w:pPr>
              <w:jc w:val="righ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610 407,9</w:t>
            </w:r>
          </w:p>
        </w:tc>
        <w:tc>
          <w:tcPr>
            <w:tcW w:w="761" w:type="pct"/>
            <w:vAlign w:val="bottom"/>
          </w:tcPr>
          <w:p w:rsidR="00032691" w:rsidRPr="00F75BB6" w:rsidRDefault="00032691" w:rsidP="008A59BD">
            <w:pPr>
              <w:jc w:val="righ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650 334,0</w:t>
            </w:r>
          </w:p>
        </w:tc>
        <w:tc>
          <w:tcPr>
            <w:tcW w:w="807" w:type="pct"/>
            <w:vAlign w:val="bottom"/>
          </w:tcPr>
          <w:p w:rsidR="00032691" w:rsidRPr="00F75BB6" w:rsidRDefault="00032691" w:rsidP="008A59BD">
            <w:pPr>
              <w:jc w:val="righ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7,4</w:t>
            </w:r>
          </w:p>
        </w:tc>
        <w:tc>
          <w:tcPr>
            <w:tcW w:w="914" w:type="pct"/>
            <w:vAlign w:val="bottom"/>
          </w:tcPr>
          <w:p w:rsidR="00032691" w:rsidRPr="00F75BB6" w:rsidRDefault="00032691" w:rsidP="008A59BD">
            <w:pPr>
              <w:jc w:val="righ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6,5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>Доходи загального фонду бюджету</w:t>
            </w:r>
            <w:r>
              <w:rPr>
                <w:rFonts w:eastAsia="Times New Roman"/>
                <w:sz w:val="25"/>
                <w:szCs w:val="25"/>
              </w:rPr>
              <w:t xml:space="preserve"> (без офіційних трансфертів)</w:t>
            </w:r>
            <w:r w:rsidRPr="00E94551">
              <w:rPr>
                <w:rFonts w:eastAsia="Times New Roman"/>
                <w:sz w:val="25"/>
                <w:szCs w:val="25"/>
              </w:rPr>
              <w:t>, в т.ч.</w:t>
            </w:r>
          </w:p>
        </w:tc>
        <w:tc>
          <w:tcPr>
            <w:tcW w:w="603" w:type="pct"/>
            <w:vAlign w:val="bottom"/>
          </w:tcPr>
          <w:p w:rsidR="00032691" w:rsidRPr="00322011" w:rsidRDefault="00032691" w:rsidP="008A59BD">
            <w:pPr>
              <w:ind w:left="-19" w:firstLine="19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512 465,0</w:t>
            </w:r>
          </w:p>
        </w:tc>
        <w:tc>
          <w:tcPr>
            <w:tcW w:w="761" w:type="pct"/>
            <w:vAlign w:val="bottom"/>
          </w:tcPr>
          <w:p w:rsidR="00032691" w:rsidRPr="00C17E98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548 330,0</w:t>
            </w:r>
          </w:p>
        </w:tc>
        <w:tc>
          <w:tcPr>
            <w:tcW w:w="807" w:type="pct"/>
            <w:vAlign w:val="bottom"/>
          </w:tcPr>
          <w:p w:rsidR="00032691" w:rsidRPr="00417E97" w:rsidRDefault="00032691" w:rsidP="008A59BD">
            <w:pPr>
              <w:jc w:val="right"/>
              <w:rPr>
                <w:sz w:val="25"/>
                <w:szCs w:val="25"/>
              </w:rPr>
            </w:pPr>
            <w:r w:rsidRPr="00417E97">
              <w:rPr>
                <w:sz w:val="25"/>
                <w:szCs w:val="25"/>
              </w:rPr>
              <w:t>7,0</w:t>
            </w:r>
          </w:p>
        </w:tc>
        <w:tc>
          <w:tcPr>
            <w:tcW w:w="914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7,0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ind w:left="426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>податок на доходи фізичних осіб</w:t>
            </w:r>
          </w:p>
        </w:tc>
        <w:tc>
          <w:tcPr>
            <w:tcW w:w="603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435 082,7</w:t>
            </w:r>
          </w:p>
        </w:tc>
        <w:tc>
          <w:tcPr>
            <w:tcW w:w="761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465 538,5</w:t>
            </w:r>
          </w:p>
        </w:tc>
        <w:tc>
          <w:tcPr>
            <w:tcW w:w="807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7,0</w:t>
            </w:r>
          </w:p>
        </w:tc>
        <w:tc>
          <w:tcPr>
            <w:tcW w:w="914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7,0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ind w:left="426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в</w:t>
            </w:r>
            <w:r w:rsidRPr="00185576">
              <w:rPr>
                <w:rFonts w:eastAsia="Times New Roman"/>
                <w:sz w:val="25"/>
                <w:szCs w:val="25"/>
              </w:rPr>
              <w:t xml:space="preserve">нутрішні податки на </w:t>
            </w:r>
            <w:r w:rsidRPr="00185576">
              <w:rPr>
                <w:rFonts w:eastAsia="Times New Roman"/>
                <w:sz w:val="25"/>
                <w:szCs w:val="25"/>
              </w:rPr>
              <w:lastRenderedPageBreak/>
              <w:t xml:space="preserve">товари та послуги  </w:t>
            </w:r>
          </w:p>
        </w:tc>
        <w:tc>
          <w:tcPr>
            <w:tcW w:w="603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7 000,0</w:t>
            </w:r>
          </w:p>
        </w:tc>
        <w:tc>
          <w:tcPr>
            <w:tcW w:w="761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7 500,0</w:t>
            </w:r>
          </w:p>
        </w:tc>
        <w:tc>
          <w:tcPr>
            <w:tcW w:w="807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7,7</w:t>
            </w:r>
          </w:p>
        </w:tc>
        <w:tc>
          <w:tcPr>
            <w:tcW w:w="914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7,1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ind w:left="426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lastRenderedPageBreak/>
              <w:t>місцеві податки і збори</w:t>
            </w:r>
          </w:p>
        </w:tc>
        <w:tc>
          <w:tcPr>
            <w:tcW w:w="603" w:type="pct"/>
            <w:vAlign w:val="bottom"/>
          </w:tcPr>
          <w:p w:rsidR="00032691" w:rsidRPr="007E598D" w:rsidRDefault="00032691" w:rsidP="008A59BD">
            <w:pPr>
              <w:jc w:val="right"/>
              <w:rPr>
                <w:sz w:val="25"/>
                <w:szCs w:val="25"/>
              </w:rPr>
            </w:pPr>
            <w:r w:rsidRPr="007E598D">
              <w:rPr>
                <w:sz w:val="25"/>
                <w:szCs w:val="25"/>
              </w:rPr>
              <w:t>63</w:t>
            </w:r>
            <w:r>
              <w:rPr>
                <w:sz w:val="25"/>
                <w:szCs w:val="25"/>
              </w:rPr>
              <w:t xml:space="preserve"> </w:t>
            </w:r>
            <w:r w:rsidRPr="007E598D">
              <w:rPr>
                <w:sz w:val="25"/>
                <w:szCs w:val="25"/>
              </w:rPr>
              <w:t>900,0</w:t>
            </w:r>
          </w:p>
        </w:tc>
        <w:tc>
          <w:tcPr>
            <w:tcW w:w="761" w:type="pct"/>
            <w:vAlign w:val="bottom"/>
          </w:tcPr>
          <w:p w:rsidR="00032691" w:rsidRPr="00160573" w:rsidRDefault="00032691" w:rsidP="008A59BD">
            <w:pPr>
              <w:jc w:val="right"/>
              <w:rPr>
                <w:sz w:val="25"/>
                <w:szCs w:val="25"/>
              </w:rPr>
            </w:pPr>
            <w:r w:rsidRPr="00160573">
              <w:rPr>
                <w:sz w:val="25"/>
                <w:szCs w:val="25"/>
              </w:rPr>
              <w:t>64 500,0</w:t>
            </w:r>
          </w:p>
        </w:tc>
        <w:tc>
          <w:tcPr>
            <w:tcW w:w="807" w:type="pct"/>
            <w:vAlign w:val="bottom"/>
          </w:tcPr>
          <w:p w:rsidR="00032691" w:rsidRPr="00160573" w:rsidRDefault="00032691" w:rsidP="008A59BD">
            <w:pPr>
              <w:jc w:val="right"/>
              <w:rPr>
                <w:sz w:val="25"/>
                <w:szCs w:val="25"/>
              </w:rPr>
            </w:pPr>
            <w:r w:rsidRPr="00160573">
              <w:rPr>
                <w:sz w:val="25"/>
                <w:szCs w:val="25"/>
              </w:rPr>
              <w:t>2,0</w:t>
            </w:r>
          </w:p>
        </w:tc>
        <w:tc>
          <w:tcPr>
            <w:tcW w:w="914" w:type="pct"/>
            <w:vAlign w:val="bottom"/>
          </w:tcPr>
          <w:p w:rsidR="00032691" w:rsidRPr="00E94551" w:rsidRDefault="00032691" w:rsidP="008A59BD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0,9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>Доходи спеціального фонду</w:t>
            </w:r>
          </w:p>
        </w:tc>
        <w:tc>
          <w:tcPr>
            <w:tcW w:w="603" w:type="pct"/>
            <w:vAlign w:val="bottom"/>
          </w:tcPr>
          <w:p w:rsidR="00032691" w:rsidRPr="00A96E72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7 500,0</w:t>
            </w:r>
          </w:p>
        </w:tc>
        <w:tc>
          <w:tcPr>
            <w:tcW w:w="761" w:type="pct"/>
            <w:vAlign w:val="bottom"/>
          </w:tcPr>
          <w:p w:rsidR="00032691" w:rsidRPr="00A96E72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7 600,0</w:t>
            </w:r>
          </w:p>
        </w:tc>
        <w:tc>
          <w:tcPr>
            <w:tcW w:w="807" w:type="pct"/>
            <w:vAlign w:val="bottom"/>
          </w:tcPr>
          <w:p w:rsidR="00032691" w:rsidRPr="00A96E72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1,1</w:t>
            </w:r>
          </w:p>
        </w:tc>
        <w:tc>
          <w:tcPr>
            <w:tcW w:w="914" w:type="pct"/>
            <w:vAlign w:val="bottom"/>
          </w:tcPr>
          <w:p w:rsidR="00032691" w:rsidRPr="00A96E72" w:rsidRDefault="00032691" w:rsidP="008A59BD">
            <w:pPr>
              <w:jc w:val="right"/>
              <w:rPr>
                <w:sz w:val="25"/>
                <w:szCs w:val="25"/>
              </w:rPr>
            </w:pPr>
            <w:r w:rsidRPr="00A96E72">
              <w:rPr>
                <w:sz w:val="25"/>
                <w:szCs w:val="25"/>
              </w:rPr>
              <w:t>1,</w:t>
            </w:r>
            <w:r>
              <w:rPr>
                <w:sz w:val="25"/>
                <w:szCs w:val="25"/>
              </w:rPr>
              <w:t>3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>Офіційні трансферти, в т.ч.</w:t>
            </w:r>
          </w:p>
        </w:tc>
        <w:tc>
          <w:tcPr>
            <w:tcW w:w="603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90 442,9</w:t>
            </w:r>
          </w:p>
        </w:tc>
        <w:tc>
          <w:tcPr>
            <w:tcW w:w="761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94 404,0</w:t>
            </w:r>
          </w:p>
        </w:tc>
        <w:tc>
          <w:tcPr>
            <w:tcW w:w="807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11,0</w:t>
            </w:r>
          </w:p>
        </w:tc>
        <w:tc>
          <w:tcPr>
            <w:tcW w:w="914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4,4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rPr>
                <w:rFonts w:eastAsia="Times New Roman"/>
                <w:sz w:val="25"/>
                <w:szCs w:val="25"/>
              </w:rPr>
            </w:pPr>
            <w:r w:rsidRPr="00E94551">
              <w:rPr>
                <w:rFonts w:eastAsia="Times New Roman"/>
                <w:sz w:val="25"/>
                <w:szCs w:val="25"/>
              </w:rPr>
              <w:t xml:space="preserve"> освітня субвенція</w:t>
            </w:r>
            <w:r>
              <w:rPr>
                <w:rFonts w:eastAsia="Times New Roman"/>
                <w:sz w:val="25"/>
                <w:szCs w:val="25"/>
              </w:rPr>
              <w:t xml:space="preserve"> з державного бюджету місцевим бюджетам</w:t>
            </w:r>
          </w:p>
        </w:tc>
        <w:tc>
          <w:tcPr>
            <w:tcW w:w="603" w:type="pct"/>
            <w:vAlign w:val="bottom"/>
          </w:tcPr>
          <w:p w:rsidR="00032691" w:rsidRPr="005E58EF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87 450,6</w:t>
            </w:r>
          </w:p>
        </w:tc>
        <w:tc>
          <w:tcPr>
            <w:tcW w:w="761" w:type="pct"/>
            <w:vAlign w:val="bottom"/>
          </w:tcPr>
          <w:p w:rsidR="00032691" w:rsidRPr="005E58EF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93 283,0</w:t>
            </w:r>
          </w:p>
        </w:tc>
        <w:tc>
          <w:tcPr>
            <w:tcW w:w="807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13,0</w:t>
            </w:r>
          </w:p>
        </w:tc>
        <w:tc>
          <w:tcPr>
            <w:tcW w:w="914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6,7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Pr="00E94551" w:rsidRDefault="00032691" w:rsidP="008A59BD">
            <w:pPr>
              <w:pStyle w:val="a3"/>
              <w:spacing w:before="0" w:beforeAutospacing="0" w:after="0" w:afterAutospacing="0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д</w:t>
            </w:r>
            <w:r w:rsidRPr="005E58EF">
              <w:rPr>
                <w:rFonts w:eastAsia="Times New Roman"/>
                <w:sz w:val="25"/>
                <w:szCs w:val="25"/>
              </w:rPr>
              <w:t>отація з місцевого бюджету на здійснення переданих з державного бюджету видатків з утримання закладів освіти та охорони здоров'я за рахунок відповідної додаткової дотації з державного бюджету</w:t>
            </w:r>
          </w:p>
        </w:tc>
        <w:tc>
          <w:tcPr>
            <w:tcW w:w="603" w:type="pct"/>
            <w:vAlign w:val="bottom"/>
          </w:tcPr>
          <w:p w:rsidR="00032691" w:rsidRPr="005E58EF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1 941,3</w:t>
            </w:r>
          </w:p>
        </w:tc>
        <w:tc>
          <w:tcPr>
            <w:tcW w:w="761" w:type="pct"/>
            <w:vAlign w:val="bottom"/>
          </w:tcPr>
          <w:p w:rsidR="00032691" w:rsidRPr="005E58EF" w:rsidRDefault="00032691" w:rsidP="008A59BD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807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-52,8</w:t>
            </w:r>
          </w:p>
        </w:tc>
        <w:tc>
          <w:tcPr>
            <w:tcW w:w="914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 w:rsidRPr="00E05C2D">
              <w:rPr>
                <w:sz w:val="25"/>
                <w:szCs w:val="25"/>
              </w:rPr>
              <w:t>х</w:t>
            </w:r>
          </w:p>
        </w:tc>
      </w:tr>
      <w:tr w:rsidR="00032691" w:rsidRPr="00E94551" w:rsidTr="008A59BD">
        <w:trPr>
          <w:tblCellSpacing w:w="15" w:type="dxa"/>
        </w:trPr>
        <w:tc>
          <w:tcPr>
            <w:tcW w:w="1824" w:type="pct"/>
            <w:vAlign w:val="center"/>
          </w:tcPr>
          <w:p w:rsidR="00032691" w:rsidRDefault="00032691" w:rsidP="008A59BD">
            <w:pPr>
              <w:pStyle w:val="a3"/>
              <w:spacing w:before="0" w:beforeAutospacing="0" w:after="0" w:afterAutospacing="0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с</w:t>
            </w:r>
            <w:r w:rsidRPr="005E58EF">
              <w:rPr>
                <w:rFonts w:eastAsia="Times New Roman"/>
                <w:sz w:val="25"/>
                <w:szCs w:val="25"/>
              </w:rPr>
              <w:t>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603" w:type="pct"/>
            <w:vAlign w:val="bottom"/>
          </w:tcPr>
          <w:p w:rsidR="00032691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1 051,0</w:t>
            </w:r>
          </w:p>
        </w:tc>
        <w:tc>
          <w:tcPr>
            <w:tcW w:w="761" w:type="pct"/>
            <w:vAlign w:val="bottom"/>
          </w:tcPr>
          <w:p w:rsidR="00032691" w:rsidRPr="005E58EF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1 121,0</w:t>
            </w:r>
          </w:p>
        </w:tc>
        <w:tc>
          <w:tcPr>
            <w:tcW w:w="807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351,5</w:t>
            </w:r>
          </w:p>
        </w:tc>
        <w:tc>
          <w:tcPr>
            <w:tcW w:w="914" w:type="pct"/>
            <w:vAlign w:val="bottom"/>
          </w:tcPr>
          <w:p w:rsidR="00032691" w:rsidRPr="00F75BB6" w:rsidRDefault="00032691" w:rsidP="008A59BD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6,7</w:t>
            </w:r>
          </w:p>
        </w:tc>
      </w:tr>
    </w:tbl>
    <w:p w:rsidR="00032691" w:rsidRDefault="00032691" w:rsidP="00032691">
      <w:pPr>
        <w:tabs>
          <w:tab w:val="left" w:pos="720"/>
          <w:tab w:val="left" w:pos="900"/>
        </w:tabs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         </w:t>
      </w:r>
    </w:p>
    <w:p w:rsidR="000A44FE" w:rsidRDefault="000A44FE" w:rsidP="00B80570">
      <w:pPr>
        <w:pStyle w:val="3"/>
        <w:spacing w:before="360" w:beforeAutospacing="0" w:after="0" w:afterAutospacing="0"/>
        <w:jc w:val="center"/>
        <w:rPr>
          <w:bCs w:val="0"/>
          <w:sz w:val="28"/>
          <w:szCs w:val="28"/>
        </w:rPr>
      </w:pPr>
    </w:p>
    <w:p w:rsidR="00B80570" w:rsidRDefault="00B80570" w:rsidP="00B80570">
      <w:pPr>
        <w:pStyle w:val="3"/>
        <w:spacing w:before="360" w:beforeAutospacing="0" w:after="0" w:afterAutospacing="0"/>
        <w:jc w:val="center"/>
        <w:rPr>
          <w:bCs w:val="0"/>
          <w:sz w:val="28"/>
          <w:szCs w:val="28"/>
        </w:rPr>
      </w:pPr>
      <w:r w:rsidRPr="008E184A">
        <w:rPr>
          <w:bCs w:val="0"/>
          <w:sz w:val="28"/>
          <w:szCs w:val="28"/>
        </w:rPr>
        <w:t>Ви</w:t>
      </w:r>
      <w:r w:rsidR="00032691">
        <w:rPr>
          <w:bCs w:val="0"/>
          <w:sz w:val="28"/>
          <w:szCs w:val="28"/>
        </w:rPr>
        <w:t>трати</w:t>
      </w:r>
      <w:r w:rsidRPr="008E184A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 xml:space="preserve"> </w:t>
      </w:r>
      <w:r w:rsidRPr="008E184A">
        <w:rPr>
          <w:bCs w:val="0"/>
          <w:sz w:val="28"/>
          <w:szCs w:val="28"/>
        </w:rPr>
        <w:t xml:space="preserve"> бюджет</w:t>
      </w:r>
      <w:r>
        <w:rPr>
          <w:bCs w:val="0"/>
          <w:sz w:val="28"/>
          <w:szCs w:val="28"/>
        </w:rPr>
        <w:t xml:space="preserve">у </w:t>
      </w:r>
      <w:proofErr w:type="spellStart"/>
      <w:r w:rsidR="002A31B3">
        <w:rPr>
          <w:bCs w:val="0"/>
          <w:sz w:val="28"/>
          <w:szCs w:val="28"/>
        </w:rPr>
        <w:t>Вараської</w:t>
      </w:r>
      <w:proofErr w:type="spellEnd"/>
      <w:r w:rsidR="002A31B3">
        <w:rPr>
          <w:bCs w:val="0"/>
          <w:sz w:val="28"/>
          <w:szCs w:val="28"/>
        </w:rPr>
        <w:t xml:space="preserve"> міської </w:t>
      </w:r>
      <w:proofErr w:type="spellStart"/>
      <w:r w:rsidR="002A31B3">
        <w:rPr>
          <w:bCs w:val="0"/>
          <w:sz w:val="28"/>
          <w:szCs w:val="28"/>
        </w:rPr>
        <w:t>об’</w:t>
      </w:r>
      <w:r w:rsidR="002A31B3" w:rsidRPr="002A31B3">
        <w:rPr>
          <w:bCs w:val="0"/>
          <w:sz w:val="28"/>
          <w:szCs w:val="28"/>
          <w:lang w:val="ru-RU"/>
        </w:rPr>
        <w:t>єднаної</w:t>
      </w:r>
      <w:proofErr w:type="spellEnd"/>
      <w:r w:rsidR="002A31B3" w:rsidRPr="002A31B3">
        <w:rPr>
          <w:bCs w:val="0"/>
          <w:sz w:val="28"/>
          <w:szCs w:val="28"/>
          <w:lang w:val="ru-RU"/>
        </w:rPr>
        <w:t xml:space="preserve"> </w:t>
      </w:r>
      <w:proofErr w:type="spellStart"/>
      <w:r w:rsidR="002A31B3" w:rsidRPr="002A31B3">
        <w:rPr>
          <w:bCs w:val="0"/>
          <w:sz w:val="28"/>
          <w:szCs w:val="28"/>
          <w:lang w:val="ru-RU"/>
        </w:rPr>
        <w:t>територіальної</w:t>
      </w:r>
      <w:proofErr w:type="spellEnd"/>
      <w:r w:rsidR="002A31B3" w:rsidRPr="002A31B3">
        <w:rPr>
          <w:bCs w:val="0"/>
          <w:sz w:val="28"/>
          <w:szCs w:val="28"/>
          <w:lang w:val="ru-RU"/>
        </w:rPr>
        <w:t xml:space="preserve"> </w:t>
      </w:r>
      <w:proofErr w:type="spellStart"/>
      <w:r w:rsidR="002A31B3" w:rsidRPr="002A31B3">
        <w:rPr>
          <w:bCs w:val="0"/>
          <w:sz w:val="28"/>
          <w:szCs w:val="28"/>
          <w:lang w:val="ru-RU"/>
        </w:rPr>
        <w:t>громади</w:t>
      </w:r>
      <w:proofErr w:type="spellEnd"/>
      <w:r w:rsidRPr="008E184A">
        <w:rPr>
          <w:bCs w:val="0"/>
          <w:sz w:val="28"/>
          <w:szCs w:val="28"/>
        </w:rPr>
        <w:t xml:space="preserve"> на 20</w:t>
      </w:r>
      <w:r w:rsidR="002A31B3">
        <w:rPr>
          <w:bCs w:val="0"/>
          <w:sz w:val="28"/>
          <w:szCs w:val="28"/>
        </w:rPr>
        <w:t>21</w:t>
      </w:r>
      <w:r w:rsidRPr="008E184A">
        <w:rPr>
          <w:bCs w:val="0"/>
          <w:sz w:val="28"/>
          <w:szCs w:val="28"/>
        </w:rPr>
        <w:t xml:space="preserve"> та 20</w:t>
      </w:r>
      <w:r w:rsidR="002A31B3">
        <w:rPr>
          <w:bCs w:val="0"/>
          <w:sz w:val="28"/>
          <w:szCs w:val="28"/>
        </w:rPr>
        <w:t>22</w:t>
      </w:r>
      <w:r w:rsidRPr="008E184A">
        <w:rPr>
          <w:bCs w:val="0"/>
          <w:sz w:val="28"/>
          <w:szCs w:val="28"/>
        </w:rPr>
        <w:t xml:space="preserve"> роки</w:t>
      </w:r>
    </w:p>
    <w:p w:rsidR="00E93E0C" w:rsidRDefault="00E93E0C" w:rsidP="00B80570">
      <w:pPr>
        <w:pStyle w:val="3"/>
        <w:spacing w:before="360" w:beforeAutospacing="0" w:after="0" w:afterAutospacing="0"/>
        <w:jc w:val="center"/>
        <w:rPr>
          <w:bCs w:val="0"/>
          <w:sz w:val="28"/>
          <w:szCs w:val="28"/>
        </w:rPr>
      </w:pPr>
    </w:p>
    <w:p w:rsidR="001B0426" w:rsidRPr="00E93E0C" w:rsidRDefault="00B80570" w:rsidP="00B80570">
      <w:pPr>
        <w:spacing w:before="120"/>
        <w:ind w:firstLine="709"/>
        <w:jc w:val="both"/>
        <w:rPr>
          <w:color w:val="000000"/>
          <w:szCs w:val="28"/>
          <w:lang w:eastAsia="uk-UA"/>
        </w:rPr>
      </w:pPr>
      <w:r w:rsidRPr="008E184A">
        <w:rPr>
          <w:color w:val="000000"/>
          <w:szCs w:val="28"/>
          <w:lang w:eastAsia="uk-UA"/>
        </w:rPr>
        <w:t>Прогноз ви</w:t>
      </w:r>
      <w:r w:rsidR="002A31B3">
        <w:rPr>
          <w:color w:val="000000"/>
          <w:szCs w:val="28"/>
          <w:lang w:eastAsia="uk-UA"/>
        </w:rPr>
        <w:t>трат</w:t>
      </w:r>
      <w:r w:rsidRPr="008E184A">
        <w:rPr>
          <w:color w:val="000000"/>
          <w:szCs w:val="28"/>
          <w:lang w:eastAsia="uk-UA"/>
        </w:rPr>
        <w:t xml:space="preserve"> бюджету на 20</w:t>
      </w:r>
      <w:r w:rsidR="002A31B3">
        <w:rPr>
          <w:color w:val="000000"/>
          <w:szCs w:val="28"/>
          <w:lang w:eastAsia="uk-UA"/>
        </w:rPr>
        <w:t>21</w:t>
      </w:r>
      <w:r w:rsidRPr="008E184A">
        <w:rPr>
          <w:color w:val="000000"/>
          <w:szCs w:val="28"/>
          <w:lang w:eastAsia="uk-UA"/>
        </w:rPr>
        <w:t xml:space="preserve"> та 20</w:t>
      </w:r>
      <w:r w:rsidR="002A31B3">
        <w:rPr>
          <w:color w:val="000000"/>
          <w:szCs w:val="28"/>
          <w:lang w:eastAsia="uk-UA"/>
        </w:rPr>
        <w:t>22</w:t>
      </w:r>
      <w:r w:rsidRPr="008E184A">
        <w:rPr>
          <w:color w:val="000000"/>
          <w:szCs w:val="28"/>
          <w:lang w:eastAsia="uk-UA"/>
        </w:rPr>
        <w:t xml:space="preserve"> роки розроблено на основі відповідних макроекономічних показників</w:t>
      </w:r>
      <w:r>
        <w:rPr>
          <w:color w:val="000000"/>
          <w:szCs w:val="28"/>
          <w:lang w:eastAsia="uk-UA"/>
        </w:rPr>
        <w:t xml:space="preserve"> та прогнозних</w:t>
      </w:r>
      <w:r w:rsidRPr="008E184A">
        <w:rPr>
          <w:color w:val="000000"/>
          <w:szCs w:val="28"/>
          <w:lang w:eastAsia="uk-UA"/>
        </w:rPr>
        <w:t xml:space="preserve"> показників доходної частини бюджету</w:t>
      </w:r>
      <w:r>
        <w:rPr>
          <w:color w:val="000000"/>
          <w:szCs w:val="28"/>
          <w:lang w:eastAsia="uk-UA"/>
        </w:rPr>
        <w:t xml:space="preserve"> з врахуванням</w:t>
      </w:r>
      <w:r w:rsidR="00BB594B">
        <w:rPr>
          <w:color w:val="000000"/>
          <w:szCs w:val="28"/>
          <w:lang w:eastAsia="uk-UA"/>
        </w:rPr>
        <w:t xml:space="preserve"> витратної частини бюджету </w:t>
      </w:r>
      <w:proofErr w:type="spellStart"/>
      <w:r w:rsidR="00BB594B">
        <w:rPr>
          <w:color w:val="000000"/>
          <w:szCs w:val="28"/>
          <w:lang w:eastAsia="uk-UA"/>
        </w:rPr>
        <w:t>Вараської</w:t>
      </w:r>
      <w:proofErr w:type="spellEnd"/>
      <w:r w:rsidR="00BB594B">
        <w:rPr>
          <w:color w:val="000000"/>
          <w:szCs w:val="28"/>
          <w:lang w:eastAsia="uk-UA"/>
        </w:rPr>
        <w:t xml:space="preserve"> міської об’</w:t>
      </w:r>
      <w:r w:rsidR="00BB594B" w:rsidRPr="00BB594B">
        <w:rPr>
          <w:color w:val="000000"/>
          <w:szCs w:val="28"/>
          <w:lang w:eastAsia="uk-UA"/>
        </w:rPr>
        <w:t>єднаної громади</w:t>
      </w:r>
      <w:r w:rsidR="00BB594B">
        <w:rPr>
          <w:color w:val="000000"/>
          <w:szCs w:val="28"/>
          <w:lang w:eastAsia="uk-UA"/>
        </w:rPr>
        <w:t xml:space="preserve"> 2019 року, </w:t>
      </w:r>
      <w:proofErr w:type="spellStart"/>
      <w:r w:rsidR="00BB594B">
        <w:rPr>
          <w:color w:val="000000"/>
          <w:szCs w:val="28"/>
          <w:lang w:eastAsia="uk-UA"/>
        </w:rPr>
        <w:t>проєкту</w:t>
      </w:r>
      <w:proofErr w:type="spellEnd"/>
      <w:r w:rsidR="00BB594B">
        <w:rPr>
          <w:color w:val="000000"/>
          <w:szCs w:val="28"/>
          <w:lang w:eastAsia="uk-UA"/>
        </w:rPr>
        <w:t xml:space="preserve"> бюджету громади</w:t>
      </w:r>
      <w:r w:rsidR="00484D1B">
        <w:rPr>
          <w:color w:val="000000"/>
          <w:szCs w:val="28"/>
          <w:lang w:eastAsia="uk-UA"/>
        </w:rPr>
        <w:t xml:space="preserve"> на</w:t>
      </w:r>
      <w:r w:rsidR="00BB594B">
        <w:rPr>
          <w:color w:val="000000"/>
          <w:szCs w:val="28"/>
          <w:lang w:eastAsia="uk-UA"/>
        </w:rPr>
        <w:t xml:space="preserve"> 2020</w:t>
      </w:r>
      <w:r w:rsidR="00484D1B">
        <w:rPr>
          <w:color w:val="000000"/>
          <w:szCs w:val="28"/>
          <w:lang w:eastAsia="uk-UA"/>
        </w:rPr>
        <w:t xml:space="preserve"> рік</w:t>
      </w:r>
      <w:r w:rsidR="00BB594B">
        <w:rPr>
          <w:color w:val="000000"/>
          <w:szCs w:val="28"/>
          <w:lang w:eastAsia="uk-UA"/>
        </w:rPr>
        <w:t>,</w:t>
      </w:r>
      <w:r>
        <w:rPr>
          <w:color w:val="000000"/>
          <w:szCs w:val="28"/>
          <w:lang w:eastAsia="uk-UA"/>
        </w:rPr>
        <w:t xml:space="preserve"> </w:t>
      </w:r>
      <w:r w:rsidR="002A31B3">
        <w:rPr>
          <w:color w:val="000000"/>
          <w:szCs w:val="28"/>
          <w:lang w:eastAsia="uk-UA"/>
        </w:rPr>
        <w:t>проведення медичної реформи та фінансування галузі охорони здоров’</w:t>
      </w:r>
      <w:r w:rsidR="002A31B3" w:rsidRPr="00BB594B">
        <w:rPr>
          <w:color w:val="000000"/>
          <w:szCs w:val="28"/>
          <w:lang w:eastAsia="uk-UA"/>
        </w:rPr>
        <w:t>я за рахунок</w:t>
      </w:r>
      <w:r w:rsidR="00BB594B">
        <w:rPr>
          <w:color w:val="000000"/>
          <w:szCs w:val="28"/>
          <w:lang w:eastAsia="uk-UA"/>
        </w:rPr>
        <w:t xml:space="preserve"> коштів</w:t>
      </w:r>
      <w:r w:rsidR="002A31B3" w:rsidRPr="00BB594B">
        <w:rPr>
          <w:color w:val="000000"/>
          <w:szCs w:val="28"/>
          <w:lang w:eastAsia="uk-UA"/>
        </w:rPr>
        <w:t xml:space="preserve"> Національної служби здоров’я України</w:t>
      </w:r>
      <w:r>
        <w:rPr>
          <w:color w:val="000000"/>
          <w:szCs w:val="28"/>
          <w:lang w:eastAsia="uk-UA"/>
        </w:rPr>
        <w:t xml:space="preserve">. Прогноз  </w:t>
      </w:r>
      <w:r w:rsidRPr="008E184A">
        <w:rPr>
          <w:bCs/>
          <w:szCs w:val="28"/>
        </w:rPr>
        <w:t>бюджет</w:t>
      </w:r>
      <w:r>
        <w:rPr>
          <w:bCs/>
          <w:szCs w:val="28"/>
        </w:rPr>
        <w:t>у</w:t>
      </w:r>
      <w:r w:rsidR="00484D1B">
        <w:rPr>
          <w:bCs/>
          <w:szCs w:val="28"/>
        </w:rPr>
        <w:t xml:space="preserve"> </w:t>
      </w:r>
      <w:proofErr w:type="spellStart"/>
      <w:r w:rsidR="00484D1B">
        <w:rPr>
          <w:bCs/>
          <w:szCs w:val="28"/>
        </w:rPr>
        <w:t>Вараської</w:t>
      </w:r>
      <w:proofErr w:type="spellEnd"/>
      <w:r w:rsidR="00484D1B">
        <w:rPr>
          <w:bCs/>
          <w:szCs w:val="28"/>
        </w:rPr>
        <w:t xml:space="preserve"> міської об</w:t>
      </w:r>
      <w:r w:rsidR="00484D1B" w:rsidRPr="00484D1B">
        <w:rPr>
          <w:bCs/>
          <w:szCs w:val="28"/>
          <w:lang w:val="ru-RU"/>
        </w:rPr>
        <w:t>’</w:t>
      </w:r>
      <w:proofErr w:type="spellStart"/>
      <w:r w:rsidR="00484D1B">
        <w:rPr>
          <w:bCs/>
          <w:szCs w:val="28"/>
        </w:rPr>
        <w:t>єднаної</w:t>
      </w:r>
      <w:proofErr w:type="spellEnd"/>
      <w:r w:rsidR="00484D1B">
        <w:rPr>
          <w:bCs/>
          <w:szCs w:val="28"/>
        </w:rPr>
        <w:t xml:space="preserve"> територіальної громади</w:t>
      </w:r>
      <w:r>
        <w:rPr>
          <w:bCs/>
          <w:szCs w:val="28"/>
        </w:rPr>
        <w:t xml:space="preserve"> </w:t>
      </w:r>
      <w:r w:rsidRPr="008E184A">
        <w:rPr>
          <w:bCs/>
          <w:szCs w:val="28"/>
        </w:rPr>
        <w:t>на 20</w:t>
      </w:r>
      <w:r w:rsidR="002A31B3">
        <w:rPr>
          <w:bCs/>
          <w:szCs w:val="28"/>
        </w:rPr>
        <w:t>21</w:t>
      </w:r>
      <w:r w:rsidRPr="008E184A">
        <w:rPr>
          <w:bCs/>
          <w:szCs w:val="28"/>
        </w:rPr>
        <w:t xml:space="preserve"> та 20</w:t>
      </w:r>
      <w:r w:rsidR="002A31B3">
        <w:rPr>
          <w:bCs/>
          <w:szCs w:val="28"/>
        </w:rPr>
        <w:t>22</w:t>
      </w:r>
      <w:r w:rsidRPr="008E184A">
        <w:rPr>
          <w:bCs/>
          <w:szCs w:val="28"/>
        </w:rPr>
        <w:t xml:space="preserve"> роки</w:t>
      </w:r>
      <w:r>
        <w:rPr>
          <w:bCs/>
          <w:szCs w:val="28"/>
        </w:rPr>
        <w:t xml:space="preserve"> передбачає проведення розпорядниками коштів міс</w:t>
      </w:r>
      <w:r w:rsidR="00484D1B">
        <w:rPr>
          <w:bCs/>
          <w:szCs w:val="28"/>
        </w:rPr>
        <w:t>цевого</w:t>
      </w:r>
      <w:r>
        <w:rPr>
          <w:bCs/>
          <w:szCs w:val="28"/>
        </w:rPr>
        <w:t xml:space="preserve"> бюджету дієвих заходів, спрямованих на забезпечення ефективного та раціонального використання бюджетних коштів, досягнення максимального результату при використанні мінімального обсягу фінансових ресурсів. З 20</w:t>
      </w:r>
      <w:r w:rsidR="002A31B3">
        <w:rPr>
          <w:bCs/>
          <w:szCs w:val="28"/>
        </w:rPr>
        <w:t xml:space="preserve">21 </w:t>
      </w:r>
      <w:r>
        <w:rPr>
          <w:bCs/>
          <w:szCs w:val="28"/>
        </w:rPr>
        <w:t xml:space="preserve">року </w:t>
      </w:r>
      <w:r w:rsidR="000E3BCB">
        <w:rPr>
          <w:bCs/>
          <w:szCs w:val="28"/>
        </w:rPr>
        <w:t>передбачається</w:t>
      </w:r>
      <w:r w:rsidRPr="00954EB2">
        <w:rPr>
          <w:bCs/>
          <w:szCs w:val="28"/>
        </w:rPr>
        <w:t xml:space="preserve"> под</w:t>
      </w:r>
      <w:r w:rsidR="001B0426">
        <w:rPr>
          <w:bCs/>
          <w:szCs w:val="28"/>
        </w:rPr>
        <w:t>альше</w:t>
      </w:r>
      <w:r>
        <w:rPr>
          <w:bCs/>
          <w:szCs w:val="28"/>
        </w:rPr>
        <w:t xml:space="preserve"> зростання </w:t>
      </w:r>
      <w:r w:rsidR="000E3BCB">
        <w:rPr>
          <w:bCs/>
          <w:szCs w:val="28"/>
        </w:rPr>
        <w:t>заробітної плати працівникам бюджетних установ</w:t>
      </w:r>
      <w:r w:rsidR="00B35669">
        <w:rPr>
          <w:bCs/>
          <w:szCs w:val="28"/>
        </w:rPr>
        <w:t>.</w:t>
      </w:r>
      <w:r>
        <w:rPr>
          <w:color w:val="000000"/>
          <w:szCs w:val="28"/>
          <w:lang w:eastAsia="uk-UA"/>
        </w:rPr>
        <w:t xml:space="preserve"> </w:t>
      </w:r>
      <w:r w:rsidR="002A31B3">
        <w:rPr>
          <w:color w:val="000000"/>
          <w:szCs w:val="28"/>
          <w:lang w:eastAsia="uk-UA"/>
        </w:rPr>
        <w:t xml:space="preserve">В Прогнозі враховано темпи росту заробітної плати у 2021 році порівняно з </w:t>
      </w:r>
      <w:r w:rsidR="00112AD2">
        <w:rPr>
          <w:color w:val="000000"/>
          <w:szCs w:val="28"/>
          <w:lang w:eastAsia="uk-UA"/>
        </w:rPr>
        <w:t xml:space="preserve">2020 роком на 8 відсотків та в 2022 році порівняно з </w:t>
      </w:r>
      <w:r w:rsidR="00C37529" w:rsidRPr="00C37529">
        <w:rPr>
          <w:color w:val="000000"/>
          <w:szCs w:val="28"/>
          <w:lang w:val="ru-RU" w:eastAsia="uk-UA"/>
        </w:rPr>
        <w:t>20</w:t>
      </w:r>
      <w:r w:rsidR="00112AD2">
        <w:rPr>
          <w:color w:val="000000"/>
          <w:szCs w:val="28"/>
          <w:lang w:eastAsia="uk-UA"/>
        </w:rPr>
        <w:t xml:space="preserve">21 роком на 7,7 відсотки. Індекс споживчих цін  у 2021 році в порівнянні з 2020 роком складає 105,7 відсотки та в 2022 році порівняно з 2021 роком – </w:t>
      </w:r>
      <w:r w:rsidR="00112AD2">
        <w:rPr>
          <w:color w:val="000000"/>
          <w:szCs w:val="28"/>
          <w:lang w:eastAsia="uk-UA"/>
        </w:rPr>
        <w:lastRenderedPageBreak/>
        <w:t xml:space="preserve">105,3 відсотки. </w:t>
      </w:r>
      <w:r w:rsidR="00E93E0C">
        <w:rPr>
          <w:color w:val="000000"/>
          <w:szCs w:val="28"/>
          <w:lang w:eastAsia="uk-UA"/>
        </w:rPr>
        <w:t>У 2021 році прогнозується в повному обсязі погасити зовнішнє місцеве запозичення (кредит НЕФКО).</w:t>
      </w:r>
      <w:r w:rsidR="00E93E0C" w:rsidRPr="00E93E0C">
        <w:rPr>
          <w:szCs w:val="28"/>
        </w:rPr>
        <w:t xml:space="preserve"> </w:t>
      </w:r>
      <w:r w:rsidR="00E93E0C">
        <w:rPr>
          <w:szCs w:val="28"/>
        </w:rPr>
        <w:t>Відповідно до положень Бюджетного кодексу України у</w:t>
      </w:r>
      <w:r w:rsidR="00E93E0C" w:rsidRPr="000608AB">
        <w:rPr>
          <w:szCs w:val="28"/>
        </w:rPr>
        <w:t xml:space="preserve"> 20</w:t>
      </w:r>
      <w:r w:rsidR="00E93E0C">
        <w:rPr>
          <w:szCs w:val="28"/>
        </w:rPr>
        <w:t xml:space="preserve">21 – 2022 </w:t>
      </w:r>
      <w:r w:rsidR="00E93E0C" w:rsidRPr="000608AB">
        <w:rPr>
          <w:szCs w:val="28"/>
        </w:rPr>
        <w:t>ро</w:t>
      </w:r>
      <w:r w:rsidR="00E93E0C">
        <w:rPr>
          <w:szCs w:val="28"/>
        </w:rPr>
        <w:t>ках</w:t>
      </w:r>
      <w:r w:rsidR="00E93E0C" w:rsidRPr="000608AB">
        <w:rPr>
          <w:szCs w:val="28"/>
        </w:rPr>
        <w:t xml:space="preserve"> </w:t>
      </w:r>
      <w:r w:rsidR="00E93E0C">
        <w:rPr>
          <w:szCs w:val="28"/>
        </w:rPr>
        <w:t xml:space="preserve">передбачається затвердження збалансованого бюджету </w:t>
      </w:r>
      <w:proofErr w:type="spellStart"/>
      <w:r w:rsidR="00E93E0C">
        <w:rPr>
          <w:szCs w:val="28"/>
        </w:rPr>
        <w:t>Вараської</w:t>
      </w:r>
      <w:proofErr w:type="spellEnd"/>
      <w:r w:rsidR="00E93E0C">
        <w:rPr>
          <w:szCs w:val="28"/>
        </w:rPr>
        <w:t xml:space="preserve"> міської </w:t>
      </w:r>
      <w:proofErr w:type="spellStart"/>
      <w:r w:rsidR="00E93E0C">
        <w:rPr>
          <w:szCs w:val="28"/>
        </w:rPr>
        <w:t>об’</w:t>
      </w:r>
      <w:r w:rsidR="00E93E0C" w:rsidRPr="00E93E0C">
        <w:rPr>
          <w:szCs w:val="28"/>
          <w:lang w:val="ru-RU"/>
        </w:rPr>
        <w:t>єднаної</w:t>
      </w:r>
      <w:proofErr w:type="spellEnd"/>
      <w:r w:rsidR="00E93E0C" w:rsidRPr="00E93E0C">
        <w:rPr>
          <w:szCs w:val="28"/>
          <w:lang w:val="ru-RU"/>
        </w:rPr>
        <w:t xml:space="preserve"> </w:t>
      </w:r>
      <w:proofErr w:type="spellStart"/>
      <w:r w:rsidR="00E93E0C" w:rsidRPr="00E93E0C">
        <w:rPr>
          <w:szCs w:val="28"/>
          <w:lang w:val="ru-RU"/>
        </w:rPr>
        <w:t>територіальної</w:t>
      </w:r>
      <w:proofErr w:type="spellEnd"/>
      <w:r w:rsidR="00E93E0C" w:rsidRPr="00E93E0C">
        <w:rPr>
          <w:szCs w:val="28"/>
          <w:lang w:val="ru-RU"/>
        </w:rPr>
        <w:t xml:space="preserve"> </w:t>
      </w:r>
      <w:proofErr w:type="spellStart"/>
      <w:r w:rsidR="00E93E0C" w:rsidRPr="00E93E0C">
        <w:rPr>
          <w:szCs w:val="28"/>
          <w:lang w:val="ru-RU"/>
        </w:rPr>
        <w:t>громади</w:t>
      </w:r>
      <w:proofErr w:type="spellEnd"/>
      <w:r w:rsidR="00E93E0C" w:rsidRPr="00E93E0C">
        <w:rPr>
          <w:szCs w:val="28"/>
          <w:lang w:val="ru-RU"/>
        </w:rPr>
        <w:t>.</w:t>
      </w:r>
    </w:p>
    <w:p w:rsidR="000A44FE" w:rsidRDefault="000A44FE" w:rsidP="001B0426">
      <w:pPr>
        <w:spacing w:before="120"/>
        <w:rPr>
          <w:color w:val="000000"/>
          <w:szCs w:val="28"/>
          <w:lang w:eastAsia="uk-UA"/>
        </w:rPr>
      </w:pPr>
    </w:p>
    <w:p w:rsidR="001B0426" w:rsidRPr="00AF1FD5" w:rsidRDefault="001B0426" w:rsidP="001B0426">
      <w:pPr>
        <w:spacing w:before="12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Таблиця 3</w:t>
      </w:r>
    </w:p>
    <w:p w:rsidR="000A44FE" w:rsidRPr="008E184A" w:rsidRDefault="000A44FE" w:rsidP="000A44FE">
      <w:pPr>
        <w:spacing w:before="120" w:after="100" w:afterAutospacing="1"/>
        <w:jc w:val="center"/>
        <w:outlineLvl w:val="2"/>
        <w:rPr>
          <w:b/>
          <w:bCs/>
          <w:color w:val="000000"/>
          <w:szCs w:val="28"/>
          <w:lang w:eastAsia="uk-UA"/>
        </w:rPr>
      </w:pPr>
      <w:r w:rsidRPr="008E184A">
        <w:rPr>
          <w:b/>
          <w:bCs/>
          <w:color w:val="000000"/>
          <w:szCs w:val="28"/>
          <w:lang w:eastAsia="uk-UA"/>
        </w:rPr>
        <w:t>Індикативні прогнозні показники ви</w:t>
      </w:r>
      <w:r>
        <w:rPr>
          <w:b/>
          <w:bCs/>
          <w:color w:val="000000"/>
          <w:szCs w:val="28"/>
          <w:lang w:eastAsia="uk-UA"/>
        </w:rPr>
        <w:t>трат</w:t>
      </w:r>
      <w:r w:rsidRPr="00D50CFE">
        <w:rPr>
          <w:b/>
          <w:bCs/>
          <w:color w:val="000000"/>
          <w:szCs w:val="28"/>
          <w:lang w:eastAsia="uk-UA"/>
        </w:rPr>
        <w:t xml:space="preserve"> </w:t>
      </w:r>
      <w:r w:rsidRPr="008E184A">
        <w:rPr>
          <w:b/>
          <w:bCs/>
          <w:color w:val="000000"/>
          <w:szCs w:val="28"/>
          <w:lang w:eastAsia="uk-UA"/>
        </w:rPr>
        <w:t xml:space="preserve"> бюджету</w:t>
      </w:r>
      <w:r>
        <w:rPr>
          <w:b/>
          <w:bCs/>
          <w:color w:val="000000"/>
          <w:szCs w:val="28"/>
          <w:lang w:eastAsia="uk-UA"/>
        </w:rPr>
        <w:t xml:space="preserve"> </w:t>
      </w:r>
      <w:proofErr w:type="spellStart"/>
      <w:r w:rsidR="00484D1B">
        <w:rPr>
          <w:b/>
          <w:bCs/>
          <w:color w:val="000000"/>
          <w:szCs w:val="28"/>
          <w:lang w:eastAsia="uk-UA"/>
        </w:rPr>
        <w:t>Вараської</w:t>
      </w:r>
      <w:proofErr w:type="spellEnd"/>
      <w:r w:rsidR="00484D1B">
        <w:rPr>
          <w:b/>
          <w:bCs/>
          <w:color w:val="000000"/>
          <w:szCs w:val="28"/>
          <w:lang w:eastAsia="uk-UA"/>
        </w:rPr>
        <w:t xml:space="preserve"> міської об</w:t>
      </w:r>
      <w:r w:rsidR="00484D1B" w:rsidRPr="00484D1B">
        <w:rPr>
          <w:b/>
          <w:bCs/>
          <w:color w:val="000000"/>
          <w:szCs w:val="28"/>
          <w:lang w:eastAsia="uk-UA"/>
        </w:rPr>
        <w:t>’</w:t>
      </w:r>
      <w:r w:rsidR="00484D1B">
        <w:rPr>
          <w:b/>
          <w:bCs/>
          <w:color w:val="000000"/>
          <w:szCs w:val="28"/>
          <w:lang w:eastAsia="uk-UA"/>
        </w:rPr>
        <w:t>єднаної територіальної громади</w:t>
      </w:r>
      <w:r w:rsidRPr="008E184A">
        <w:rPr>
          <w:b/>
          <w:bCs/>
          <w:color w:val="000000"/>
          <w:szCs w:val="28"/>
          <w:lang w:eastAsia="uk-UA"/>
        </w:rPr>
        <w:t xml:space="preserve"> за </w:t>
      </w:r>
      <w:r>
        <w:rPr>
          <w:b/>
          <w:bCs/>
          <w:color w:val="000000"/>
          <w:szCs w:val="28"/>
          <w:lang w:eastAsia="uk-UA"/>
        </w:rPr>
        <w:t>програмною класифікацією / класифікацією фінансування бюджету</w:t>
      </w:r>
      <w:r w:rsidR="00BB594B">
        <w:rPr>
          <w:b/>
          <w:bCs/>
          <w:color w:val="000000"/>
          <w:szCs w:val="28"/>
          <w:lang w:eastAsia="uk-UA"/>
        </w:rPr>
        <w:t xml:space="preserve"> за типом кредитора</w:t>
      </w:r>
      <w:r w:rsidRPr="008E184A">
        <w:rPr>
          <w:b/>
          <w:bCs/>
          <w:color w:val="000000"/>
          <w:szCs w:val="28"/>
          <w:lang w:eastAsia="uk-UA"/>
        </w:rPr>
        <w:t xml:space="preserve"> на 20</w:t>
      </w:r>
      <w:r>
        <w:rPr>
          <w:b/>
          <w:bCs/>
          <w:color w:val="000000"/>
          <w:szCs w:val="28"/>
          <w:lang w:eastAsia="uk-UA"/>
        </w:rPr>
        <w:t>21</w:t>
      </w:r>
      <w:r w:rsidRPr="008E184A">
        <w:rPr>
          <w:b/>
          <w:bCs/>
          <w:color w:val="000000"/>
          <w:szCs w:val="28"/>
          <w:lang w:eastAsia="uk-UA"/>
        </w:rPr>
        <w:t xml:space="preserve"> та 20</w:t>
      </w:r>
      <w:r w:rsidRPr="00D02151">
        <w:rPr>
          <w:b/>
          <w:bCs/>
          <w:color w:val="000000"/>
          <w:szCs w:val="28"/>
          <w:lang w:eastAsia="uk-UA"/>
        </w:rPr>
        <w:t>2</w:t>
      </w:r>
      <w:r>
        <w:rPr>
          <w:b/>
          <w:bCs/>
          <w:color w:val="000000"/>
          <w:szCs w:val="28"/>
          <w:lang w:eastAsia="uk-UA"/>
        </w:rPr>
        <w:t>2</w:t>
      </w:r>
      <w:r w:rsidRPr="008E184A">
        <w:rPr>
          <w:b/>
          <w:bCs/>
          <w:color w:val="000000"/>
          <w:szCs w:val="28"/>
          <w:lang w:eastAsia="uk-UA"/>
        </w:rPr>
        <w:t> роки</w:t>
      </w:r>
      <w:r>
        <w:rPr>
          <w:b/>
          <w:bCs/>
          <w:color w:val="000000"/>
          <w:szCs w:val="28"/>
          <w:lang w:eastAsia="uk-UA"/>
        </w:rPr>
        <w:t xml:space="preserve"> </w:t>
      </w:r>
    </w:p>
    <w:tbl>
      <w:tblPr>
        <w:tblW w:w="8908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9"/>
        <w:gridCol w:w="4568"/>
        <w:gridCol w:w="1292"/>
        <w:gridCol w:w="1309"/>
      </w:tblGrid>
      <w:tr w:rsidR="000A44FE" w:rsidRPr="00291849" w:rsidTr="004A29C2">
        <w:trPr>
          <w:trHeight w:val="360"/>
        </w:trPr>
        <w:tc>
          <w:tcPr>
            <w:tcW w:w="1739" w:type="dxa"/>
            <w:vMerge w:val="restart"/>
          </w:tcPr>
          <w:p w:rsidR="000A44FE" w:rsidRPr="00B7578E" w:rsidRDefault="000A44FE" w:rsidP="00BB594B">
            <w:pPr>
              <w:jc w:val="center"/>
              <w:rPr>
                <w:sz w:val="26"/>
                <w:szCs w:val="26"/>
                <w:lang w:eastAsia="ru-RU"/>
              </w:rPr>
            </w:pPr>
            <w:r w:rsidRPr="00B7578E">
              <w:rPr>
                <w:sz w:val="26"/>
                <w:szCs w:val="26"/>
                <w:lang w:eastAsia="ru-RU"/>
              </w:rPr>
              <w:t xml:space="preserve">Код типової програмної класифікації </w:t>
            </w:r>
            <w:proofErr w:type="spellStart"/>
            <w:r w:rsidRPr="00B7578E">
              <w:rPr>
                <w:sz w:val="26"/>
                <w:szCs w:val="26"/>
                <w:lang w:eastAsia="ru-RU"/>
              </w:rPr>
              <w:t>витатків</w:t>
            </w:r>
            <w:proofErr w:type="spellEnd"/>
            <w:r w:rsidRPr="00B7578E">
              <w:rPr>
                <w:sz w:val="26"/>
                <w:szCs w:val="26"/>
                <w:lang w:eastAsia="ru-RU"/>
              </w:rPr>
              <w:t xml:space="preserve"> та кредитування місцевих бюджетів</w:t>
            </w:r>
            <w:r>
              <w:rPr>
                <w:sz w:val="26"/>
                <w:szCs w:val="26"/>
                <w:lang w:eastAsia="ru-RU"/>
              </w:rPr>
              <w:t>/ класифікаці</w:t>
            </w:r>
            <w:r w:rsidR="00BB594B">
              <w:rPr>
                <w:sz w:val="26"/>
                <w:szCs w:val="26"/>
                <w:lang w:eastAsia="ru-RU"/>
              </w:rPr>
              <w:t>ї</w:t>
            </w:r>
            <w:r>
              <w:rPr>
                <w:sz w:val="26"/>
                <w:szCs w:val="26"/>
                <w:lang w:eastAsia="ru-RU"/>
              </w:rPr>
              <w:t xml:space="preserve"> фінансування </w:t>
            </w:r>
            <w:r w:rsidR="00BB594B">
              <w:rPr>
                <w:sz w:val="26"/>
                <w:szCs w:val="26"/>
                <w:lang w:eastAsia="ru-RU"/>
              </w:rPr>
              <w:t>бюджету за типом кредитора</w:t>
            </w:r>
          </w:p>
        </w:tc>
        <w:tc>
          <w:tcPr>
            <w:tcW w:w="4568" w:type="dxa"/>
            <w:vMerge w:val="restart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jc w:val="center"/>
              <w:rPr>
                <w:sz w:val="26"/>
                <w:szCs w:val="26"/>
                <w:lang w:val="ru-RU" w:eastAsia="ru-RU"/>
              </w:rPr>
            </w:pPr>
            <w:proofErr w:type="spellStart"/>
            <w:r w:rsidRPr="00291849">
              <w:rPr>
                <w:sz w:val="26"/>
                <w:szCs w:val="26"/>
                <w:lang w:val="ru-RU" w:eastAsia="ru-RU"/>
              </w:rPr>
              <w:t>Найменування</w:t>
            </w:r>
            <w:proofErr w:type="spellEnd"/>
            <w:r w:rsidRPr="00291849">
              <w:rPr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sz w:val="26"/>
                <w:szCs w:val="26"/>
                <w:lang w:val="ru-RU" w:eastAsia="ru-RU"/>
              </w:rPr>
              <w:t>коду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jc w:val="center"/>
              <w:rPr>
                <w:sz w:val="26"/>
                <w:szCs w:val="26"/>
                <w:lang w:val="ru-RU" w:eastAsia="ru-RU"/>
              </w:rPr>
            </w:pPr>
            <w:proofErr w:type="spellStart"/>
            <w:r w:rsidRPr="00291849">
              <w:rPr>
                <w:sz w:val="26"/>
                <w:szCs w:val="26"/>
                <w:lang w:val="ru-RU" w:eastAsia="ru-RU"/>
              </w:rPr>
              <w:t>Обсяг</w:t>
            </w:r>
            <w:proofErr w:type="spellEnd"/>
            <w:r w:rsidRPr="00291849">
              <w:rPr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91849">
              <w:rPr>
                <w:sz w:val="26"/>
                <w:szCs w:val="26"/>
                <w:lang w:val="ru-RU" w:eastAsia="ru-RU"/>
              </w:rPr>
              <w:t>тис</w:t>
            </w:r>
            <w:proofErr w:type="gramStart"/>
            <w:r w:rsidRPr="00291849">
              <w:rPr>
                <w:sz w:val="26"/>
                <w:szCs w:val="26"/>
                <w:lang w:val="ru-RU" w:eastAsia="ru-RU"/>
              </w:rPr>
              <w:t>.г</w:t>
            </w:r>
            <w:proofErr w:type="gramEnd"/>
            <w:r w:rsidRPr="00291849">
              <w:rPr>
                <w:sz w:val="26"/>
                <w:szCs w:val="26"/>
                <w:lang w:val="ru-RU" w:eastAsia="ru-RU"/>
              </w:rPr>
              <w:t>рн</w:t>
            </w:r>
            <w:proofErr w:type="spellEnd"/>
            <w:r w:rsidRPr="00291849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0A44FE" w:rsidRPr="00291849" w:rsidTr="004A29C2">
        <w:trPr>
          <w:trHeight w:val="720"/>
        </w:trPr>
        <w:tc>
          <w:tcPr>
            <w:tcW w:w="1739" w:type="dxa"/>
            <w:vMerge/>
          </w:tcPr>
          <w:p w:rsidR="000A44FE" w:rsidRPr="00291849" w:rsidRDefault="000A44FE" w:rsidP="004A29C2">
            <w:pPr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4568" w:type="dxa"/>
            <w:vMerge/>
            <w:vAlign w:val="center"/>
            <w:hideMark/>
          </w:tcPr>
          <w:p w:rsidR="000A44FE" w:rsidRPr="00291849" w:rsidRDefault="000A44FE" w:rsidP="004A29C2">
            <w:pPr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291849" w:rsidRDefault="000A44FE" w:rsidP="00E740C4">
            <w:pPr>
              <w:jc w:val="center"/>
              <w:rPr>
                <w:sz w:val="26"/>
                <w:szCs w:val="26"/>
                <w:lang w:val="ru-RU" w:eastAsia="ru-RU"/>
              </w:rPr>
            </w:pPr>
            <w:r w:rsidRPr="00291849">
              <w:rPr>
                <w:sz w:val="26"/>
                <w:szCs w:val="26"/>
                <w:lang w:val="ru-RU" w:eastAsia="ru-RU"/>
              </w:rPr>
              <w:t>20</w:t>
            </w:r>
            <w:r>
              <w:rPr>
                <w:sz w:val="26"/>
                <w:szCs w:val="26"/>
                <w:lang w:val="ru-RU" w:eastAsia="ru-RU"/>
              </w:rPr>
              <w:t>2</w:t>
            </w:r>
            <w:r w:rsidR="00E740C4">
              <w:rPr>
                <w:sz w:val="26"/>
                <w:szCs w:val="26"/>
                <w:lang w:val="ru-RU" w:eastAsia="ru-RU"/>
              </w:rPr>
              <w:t>1</w:t>
            </w:r>
            <w:r w:rsidRPr="00291849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291849">
              <w:rPr>
                <w:sz w:val="26"/>
                <w:szCs w:val="26"/>
                <w:lang w:val="ru-RU" w:eastAsia="ru-RU"/>
              </w:rPr>
              <w:t>р</w:t>
            </w:r>
            <w:proofErr w:type="gramEnd"/>
            <w:r w:rsidRPr="00291849">
              <w:rPr>
                <w:sz w:val="26"/>
                <w:szCs w:val="26"/>
                <w:lang w:val="ru-RU" w:eastAsia="ru-RU"/>
              </w:rPr>
              <w:t>ік</w:t>
            </w:r>
            <w:proofErr w:type="spellEnd"/>
            <w:r w:rsidRPr="00291849">
              <w:rPr>
                <w:sz w:val="26"/>
                <w:szCs w:val="26"/>
                <w:lang w:val="ru-RU" w:eastAsia="ru-RU"/>
              </w:rPr>
              <w:t xml:space="preserve"> (прогноз)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291849" w:rsidRDefault="000A44FE" w:rsidP="00E740C4">
            <w:pPr>
              <w:jc w:val="center"/>
              <w:rPr>
                <w:sz w:val="26"/>
                <w:szCs w:val="26"/>
                <w:lang w:val="ru-RU" w:eastAsia="ru-RU"/>
              </w:rPr>
            </w:pPr>
            <w:r w:rsidRPr="00291849">
              <w:rPr>
                <w:sz w:val="26"/>
                <w:szCs w:val="26"/>
                <w:lang w:val="ru-RU" w:eastAsia="ru-RU"/>
              </w:rPr>
              <w:t>20</w:t>
            </w:r>
            <w:r>
              <w:rPr>
                <w:sz w:val="26"/>
                <w:szCs w:val="26"/>
                <w:lang w:val="en-US" w:eastAsia="ru-RU"/>
              </w:rPr>
              <w:t>2</w:t>
            </w:r>
            <w:proofErr w:type="spellStart"/>
            <w:r w:rsidR="00E740C4">
              <w:rPr>
                <w:sz w:val="26"/>
                <w:szCs w:val="26"/>
                <w:lang w:eastAsia="ru-RU"/>
              </w:rPr>
              <w:t>2</w:t>
            </w:r>
            <w:proofErr w:type="spellEnd"/>
            <w:r w:rsidRPr="00291849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291849">
              <w:rPr>
                <w:sz w:val="26"/>
                <w:szCs w:val="26"/>
                <w:lang w:val="ru-RU" w:eastAsia="ru-RU"/>
              </w:rPr>
              <w:t>р</w:t>
            </w:r>
            <w:proofErr w:type="gramEnd"/>
            <w:r w:rsidRPr="00291849">
              <w:rPr>
                <w:sz w:val="26"/>
                <w:szCs w:val="26"/>
                <w:lang w:val="ru-RU" w:eastAsia="ru-RU"/>
              </w:rPr>
              <w:t>ік</w:t>
            </w:r>
            <w:proofErr w:type="spellEnd"/>
            <w:r w:rsidRPr="00291849">
              <w:rPr>
                <w:sz w:val="26"/>
                <w:szCs w:val="26"/>
                <w:lang w:val="ru-RU" w:eastAsia="ru-RU"/>
              </w:rPr>
              <w:t xml:space="preserve"> (прогноз)</w:t>
            </w:r>
          </w:p>
        </w:tc>
      </w:tr>
      <w:tr w:rsidR="000A44FE" w:rsidRPr="00291849" w:rsidTr="004A29C2">
        <w:trPr>
          <w:trHeight w:val="348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84D1B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291849">
              <w:rPr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291849">
              <w:rPr>
                <w:b/>
                <w:bCs/>
                <w:sz w:val="24"/>
                <w:szCs w:val="24"/>
                <w:lang w:val="ru-RU" w:eastAsia="ru-RU"/>
              </w:rPr>
              <w:t>Ви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трати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рахунок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доходів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фонду</w:t>
            </w:r>
            <w:r w:rsidRPr="00291849">
              <w:rPr>
                <w:b/>
                <w:bCs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535F69" w:rsidRDefault="000A44FE" w:rsidP="000A44FE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602 907,9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535F69" w:rsidRDefault="000A44FE" w:rsidP="000A44FE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642 734,0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0100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Державне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proofErr w:type="gramStart"/>
            <w:r>
              <w:rPr>
                <w:sz w:val="24"/>
                <w:szCs w:val="24"/>
                <w:lang w:val="ru-RU" w:eastAsia="ru-RU"/>
              </w:rPr>
              <w:t>м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ісцеве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291849" w:rsidRDefault="000A44FE" w:rsidP="00E740C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73 </w:t>
            </w:r>
            <w:r w:rsidR="00E740C4">
              <w:rPr>
                <w:sz w:val="24"/>
                <w:szCs w:val="24"/>
                <w:lang w:val="ru-RU" w:eastAsia="ru-RU"/>
              </w:rPr>
              <w:t>123</w:t>
            </w:r>
            <w:r>
              <w:rPr>
                <w:sz w:val="24"/>
                <w:szCs w:val="24"/>
                <w:lang w:val="ru-RU" w:eastAsia="ru-RU"/>
              </w:rPr>
              <w:t>,6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535F69" w:rsidRDefault="000A44FE" w:rsidP="00E740C4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 w:rsidR="00E740C4">
              <w:rPr>
                <w:sz w:val="24"/>
                <w:szCs w:val="24"/>
                <w:lang w:val="ru-RU" w:eastAsia="ru-RU"/>
              </w:rPr>
              <w:t>8</w:t>
            </w:r>
            <w:r>
              <w:rPr>
                <w:sz w:val="24"/>
                <w:szCs w:val="24"/>
                <w:lang w:val="ru-RU" w:eastAsia="ru-RU"/>
              </w:rPr>
              <w:t> </w:t>
            </w:r>
            <w:r w:rsidR="00E740C4">
              <w:rPr>
                <w:sz w:val="24"/>
                <w:szCs w:val="24"/>
                <w:lang w:val="ru-RU" w:eastAsia="ru-RU"/>
              </w:rPr>
              <w:t>620</w:t>
            </w:r>
            <w:r>
              <w:rPr>
                <w:sz w:val="24"/>
                <w:szCs w:val="24"/>
                <w:lang w:val="ru-RU" w:eastAsia="ru-RU"/>
              </w:rPr>
              <w:t>,</w:t>
            </w:r>
            <w:r w:rsidR="00E740C4"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Освіта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5F187A" w:rsidRDefault="00C37529" w:rsidP="004A29C2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280 739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C37529" w:rsidRDefault="00C37529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301</w:t>
            </w:r>
            <w:r w:rsidR="000A44FE">
              <w:rPr>
                <w:sz w:val="24"/>
                <w:szCs w:val="24"/>
                <w:lang w:val="ru-RU"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291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Охорона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здоров’я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C37529" w:rsidRDefault="00C37529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</w:t>
            </w:r>
            <w:r w:rsidR="000A44FE">
              <w:rPr>
                <w:sz w:val="24"/>
                <w:szCs w:val="24"/>
                <w:lang w:val="ru-RU"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051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C37529" w:rsidRDefault="00C37529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</w:t>
            </w:r>
            <w:r w:rsidR="000A44FE">
              <w:rPr>
                <w:sz w:val="24"/>
                <w:szCs w:val="24"/>
                <w:lang w:val="ru-RU"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372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2</w:t>
            </w:r>
          </w:p>
        </w:tc>
      </w:tr>
      <w:tr w:rsidR="000A44FE" w:rsidRPr="00291849" w:rsidTr="004A29C2">
        <w:trPr>
          <w:trHeight w:val="420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291849">
              <w:rPr>
                <w:sz w:val="24"/>
                <w:szCs w:val="24"/>
                <w:lang w:val="ru-RU" w:eastAsia="ru-RU"/>
              </w:rPr>
              <w:t>Соц</w:t>
            </w:r>
            <w:proofErr w:type="gramEnd"/>
            <w:r w:rsidRPr="00291849">
              <w:rPr>
                <w:sz w:val="24"/>
                <w:szCs w:val="24"/>
                <w:lang w:val="ru-RU" w:eastAsia="ru-RU"/>
              </w:rPr>
              <w:t>іальний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захист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соціальне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забезпечення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C37529" w:rsidRDefault="000A44FE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C37529">
              <w:rPr>
                <w:sz w:val="24"/>
                <w:szCs w:val="24"/>
                <w:lang w:val="en-US" w:eastAsia="ru-RU"/>
              </w:rPr>
              <w:t>8</w:t>
            </w:r>
            <w:r>
              <w:rPr>
                <w:sz w:val="24"/>
                <w:szCs w:val="24"/>
                <w:lang w:val="ru-RU" w:eastAsia="ru-RU"/>
              </w:rPr>
              <w:t> </w:t>
            </w:r>
            <w:r w:rsidR="00C37529">
              <w:rPr>
                <w:sz w:val="24"/>
                <w:szCs w:val="24"/>
                <w:lang w:val="en-US" w:eastAsia="ru-RU"/>
              </w:rPr>
              <w:t>297</w:t>
            </w:r>
            <w:r>
              <w:rPr>
                <w:sz w:val="24"/>
                <w:szCs w:val="24"/>
                <w:lang w:val="ru-RU" w:eastAsia="ru-RU"/>
              </w:rPr>
              <w:t>,</w:t>
            </w:r>
            <w:r w:rsidR="00C37529">
              <w:rPr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C37529" w:rsidRDefault="00C37529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30</w:t>
            </w:r>
            <w:r w:rsidR="000A44FE"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217</w:t>
            </w:r>
            <w:r w:rsidR="000A44FE" w:rsidRPr="00291849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8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4000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 w:rsidRPr="00291849">
              <w:rPr>
                <w:sz w:val="24"/>
                <w:szCs w:val="24"/>
                <w:lang w:val="ru-RU" w:eastAsia="ru-RU"/>
              </w:rPr>
              <w:t xml:space="preserve">Культура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і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C37529" w:rsidRDefault="00C37529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</w:t>
            </w:r>
            <w:r w:rsidR="000A44FE"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914</w:t>
            </w:r>
            <w:r w:rsidR="000A44FE" w:rsidRPr="00291849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C37529" w:rsidRDefault="00C37529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</w:t>
            </w:r>
            <w:r w:rsidR="000A44FE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606</w:t>
            </w:r>
            <w:r w:rsidR="000A44FE" w:rsidRPr="00291849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7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5000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Фізична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культура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і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спорт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C37529" w:rsidRDefault="00C37529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</w:t>
            </w:r>
            <w:r w:rsidR="000A44FE">
              <w:rPr>
                <w:sz w:val="24"/>
                <w:szCs w:val="24"/>
                <w:lang w:val="ru-RU"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822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C37529" w:rsidRDefault="00C37529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</w:t>
            </w:r>
            <w:r w:rsidR="000A44FE"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081</w:t>
            </w:r>
            <w:r w:rsidR="000A44FE" w:rsidRPr="00291849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7</w:t>
            </w:r>
          </w:p>
        </w:tc>
      </w:tr>
      <w:tr w:rsidR="000A44FE" w:rsidRPr="00291849" w:rsidTr="004A29C2">
        <w:trPr>
          <w:trHeight w:val="404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6000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Житлово-комунальне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господарство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C37529" w:rsidRDefault="00207D7C" w:rsidP="00C37529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90</w:t>
            </w:r>
            <w:r w:rsidR="000A44FE"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r w:rsidR="00C37529">
              <w:rPr>
                <w:sz w:val="24"/>
                <w:szCs w:val="24"/>
                <w:lang w:val="en-US" w:eastAsia="ru-RU"/>
              </w:rPr>
              <w:t>383</w:t>
            </w:r>
            <w:r w:rsidR="000A44FE" w:rsidRPr="00291849">
              <w:rPr>
                <w:sz w:val="24"/>
                <w:szCs w:val="24"/>
                <w:lang w:val="ru-RU" w:eastAsia="ru-RU"/>
              </w:rPr>
              <w:t>,</w:t>
            </w:r>
            <w:r w:rsidR="00C37529">
              <w:rPr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291849" w:rsidRDefault="00C37529" w:rsidP="00C3752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90</w:t>
            </w:r>
            <w:r w:rsidR="000A44FE" w:rsidRPr="00291849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693</w:t>
            </w:r>
            <w:r w:rsidR="000A44FE" w:rsidRPr="00291849">
              <w:rPr>
                <w:sz w:val="24"/>
                <w:szCs w:val="24"/>
                <w:lang w:val="ru-RU" w:eastAsia="ru-RU"/>
              </w:rPr>
              <w:t>,</w:t>
            </w:r>
            <w:r w:rsidR="000A44FE">
              <w:rPr>
                <w:sz w:val="24"/>
                <w:szCs w:val="24"/>
                <w:lang w:val="ru-RU" w:eastAsia="ru-RU"/>
              </w:rPr>
              <w:t>9</w:t>
            </w:r>
          </w:p>
        </w:tc>
      </w:tr>
      <w:tr w:rsidR="00C37529" w:rsidRPr="00291849" w:rsidTr="004A29C2">
        <w:trPr>
          <w:trHeight w:val="554"/>
        </w:trPr>
        <w:tc>
          <w:tcPr>
            <w:tcW w:w="1739" w:type="dxa"/>
          </w:tcPr>
          <w:p w:rsidR="00C37529" w:rsidRPr="00C37529" w:rsidRDefault="00C37529" w:rsidP="004A29C2">
            <w:pPr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7100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C37529" w:rsidRPr="00C37529" w:rsidRDefault="00C37529" w:rsidP="004A29C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Сільське, лісове, рибне господарство та мисливство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C37529" w:rsidRPr="00C37529" w:rsidRDefault="00C37529" w:rsidP="004A29C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493,</w:t>
            </w:r>
            <w:r w:rsidR="00DB03A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C37529" w:rsidRDefault="00C37529" w:rsidP="004A29C2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513,6</w:t>
            </w:r>
          </w:p>
        </w:tc>
      </w:tr>
      <w:tr w:rsidR="000A44FE" w:rsidRPr="00291849" w:rsidTr="004A29C2">
        <w:trPr>
          <w:trHeight w:val="554"/>
        </w:trPr>
        <w:tc>
          <w:tcPr>
            <w:tcW w:w="1739" w:type="dxa"/>
          </w:tcPr>
          <w:p w:rsidR="000A44FE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7300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Будівництво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регіональний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розвиток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Default="00890CB4" w:rsidP="00890CB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="00C37529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3</w:t>
            </w:r>
            <w:r w:rsidR="00C37529">
              <w:rPr>
                <w:sz w:val="24"/>
                <w:szCs w:val="24"/>
                <w:lang w:val="ru-RU" w:eastAsia="ru-RU"/>
              </w:rPr>
              <w:t>41</w:t>
            </w:r>
            <w:r w:rsidR="000A44FE">
              <w:rPr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Default="00890CB4" w:rsidP="00890CB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="000A44FE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4</w:t>
            </w:r>
            <w:r w:rsidR="00C37529">
              <w:rPr>
                <w:sz w:val="24"/>
                <w:szCs w:val="24"/>
                <w:lang w:val="ru-RU" w:eastAsia="ru-RU"/>
              </w:rPr>
              <w:t>61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 w:rsidR="00C37529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0A44FE" w:rsidRPr="00291849" w:rsidTr="004A29C2">
        <w:trPr>
          <w:trHeight w:val="554"/>
        </w:trPr>
        <w:tc>
          <w:tcPr>
            <w:tcW w:w="1739" w:type="dxa"/>
          </w:tcPr>
          <w:p w:rsidR="000A44FE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7400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 w:rsidRPr="00291849">
              <w:rPr>
                <w:sz w:val="24"/>
                <w:szCs w:val="24"/>
                <w:lang w:val="ru-RU" w:eastAsia="ru-RU"/>
              </w:rPr>
              <w:t>Транспорт</w:t>
            </w:r>
            <w:r>
              <w:rPr>
                <w:sz w:val="24"/>
                <w:szCs w:val="24"/>
                <w:lang w:val="ru-RU" w:eastAsia="ru-RU"/>
              </w:rPr>
              <w:t xml:space="preserve"> та транспортна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інфрастуктура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дорожнє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господарство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207D7C" w:rsidRDefault="00207D7C" w:rsidP="00207D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10 597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207D7C" w:rsidRDefault="00207D7C" w:rsidP="00207D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5</w:t>
            </w:r>
            <w:r w:rsidR="000A44FE">
              <w:rPr>
                <w:sz w:val="24"/>
                <w:szCs w:val="24"/>
                <w:lang w:val="ru-RU"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988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7</w:t>
            </w:r>
          </w:p>
        </w:tc>
      </w:tr>
      <w:tr w:rsidR="000A44FE" w:rsidRPr="00291849" w:rsidTr="004A29C2">
        <w:trPr>
          <w:trHeight w:val="528"/>
        </w:trPr>
        <w:tc>
          <w:tcPr>
            <w:tcW w:w="1739" w:type="dxa"/>
          </w:tcPr>
          <w:p w:rsidR="000A44FE" w:rsidRPr="00FB3330" w:rsidRDefault="000A44FE" w:rsidP="004A29C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FB3330" w:rsidRDefault="000A44FE" w:rsidP="004A29C2">
            <w:pPr>
              <w:rPr>
                <w:sz w:val="24"/>
                <w:szCs w:val="24"/>
                <w:lang w:eastAsia="ru-RU"/>
              </w:rPr>
            </w:pPr>
            <w:r w:rsidRPr="00FB3330">
              <w:rPr>
                <w:sz w:val="24"/>
                <w:szCs w:val="24"/>
                <w:lang w:eastAsia="ru-RU"/>
              </w:rPr>
              <w:t xml:space="preserve">Інші </w:t>
            </w:r>
            <w:r>
              <w:rPr>
                <w:sz w:val="24"/>
                <w:szCs w:val="24"/>
                <w:lang w:eastAsia="ru-RU"/>
              </w:rPr>
              <w:t>програми та заходи,</w:t>
            </w:r>
            <w:r w:rsidRPr="00FB3330">
              <w:rPr>
                <w:sz w:val="24"/>
                <w:szCs w:val="24"/>
                <w:lang w:eastAsia="ru-RU"/>
              </w:rPr>
              <w:t xml:space="preserve"> пов'язані з економічної діяльністю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291849" w:rsidRDefault="00C37529" w:rsidP="00C3752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2 644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291849" w:rsidRDefault="00C37529" w:rsidP="00C3752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2 752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Pr="00291849" w:rsidRDefault="000A44FE" w:rsidP="00C37529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8600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C37529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 w:rsidRPr="00291849">
              <w:rPr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="00C3752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37529">
              <w:rPr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291849">
              <w:rPr>
                <w:sz w:val="24"/>
                <w:szCs w:val="24"/>
                <w:lang w:val="ru-RU" w:eastAsia="ru-RU"/>
              </w:rPr>
              <w:t xml:space="preserve"> боргу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291849" w:rsidRDefault="00C37529" w:rsidP="004A29C2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18,7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291849" w:rsidRDefault="00C37529" w:rsidP="004A29C2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8700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Резервний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фонд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Default="000A44FE" w:rsidP="004A29C2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500,0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Default="000A44FE" w:rsidP="004A29C2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500,0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9110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Реверсна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дотація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207D7C" w:rsidRDefault="00207D7C" w:rsidP="00207D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83</w:t>
            </w:r>
            <w:r w:rsidR="000A44FE">
              <w:rPr>
                <w:sz w:val="24"/>
                <w:szCs w:val="24"/>
                <w:lang w:val="ru-RU" w:eastAsia="ru-RU"/>
              </w:rPr>
              <w:t> </w:t>
            </w:r>
            <w:r>
              <w:rPr>
                <w:sz w:val="24"/>
                <w:szCs w:val="24"/>
                <w:lang w:val="en-US" w:eastAsia="ru-RU"/>
              </w:rPr>
              <w:t>282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207D7C" w:rsidRDefault="00207D7C" w:rsidP="00207D7C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98</w:t>
            </w:r>
            <w:r w:rsidR="000A44FE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803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7</w:t>
            </w:r>
          </w:p>
        </w:tc>
      </w:tr>
      <w:tr w:rsidR="000A44FE" w:rsidRPr="00291849" w:rsidTr="004A29C2">
        <w:trPr>
          <w:trHeight w:val="360"/>
        </w:trPr>
        <w:tc>
          <w:tcPr>
            <w:tcW w:w="1739" w:type="dxa"/>
          </w:tcPr>
          <w:p w:rsidR="000A44FE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9700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Default="000A44FE" w:rsidP="004A29C2">
            <w:pPr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Субвенції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місцевого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бюджету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іншим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місцевим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 бюджетам на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програм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 та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заходів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рахунок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коштів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місцевих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бюджеті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Default="00890CB4" w:rsidP="00890CB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6573DE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4</w:t>
            </w:r>
            <w:r w:rsidR="006573DE">
              <w:rPr>
                <w:sz w:val="24"/>
                <w:szCs w:val="24"/>
                <w:lang w:val="ru-RU" w:eastAsia="ru-RU"/>
              </w:rPr>
              <w:t>66</w:t>
            </w:r>
            <w:r w:rsidR="000A44FE">
              <w:rPr>
                <w:sz w:val="24"/>
                <w:szCs w:val="24"/>
                <w:lang w:val="ru-RU" w:eastAsia="ru-RU"/>
              </w:rPr>
              <w:t>,6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Default="00890CB4" w:rsidP="00890CB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="006573DE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8</w:t>
            </w:r>
            <w:r w:rsidR="006573DE">
              <w:rPr>
                <w:sz w:val="24"/>
                <w:szCs w:val="24"/>
                <w:lang w:val="ru-RU" w:eastAsia="ru-RU"/>
              </w:rPr>
              <w:t>30</w:t>
            </w:r>
            <w:r w:rsidR="000A44FE">
              <w:rPr>
                <w:sz w:val="24"/>
                <w:szCs w:val="24"/>
                <w:lang w:val="ru-RU" w:eastAsia="ru-RU"/>
              </w:rPr>
              <w:t>,</w:t>
            </w:r>
            <w:r w:rsidR="006573DE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BB594B" w:rsidRPr="00291849" w:rsidTr="004A29C2">
        <w:trPr>
          <w:trHeight w:val="348"/>
        </w:trPr>
        <w:tc>
          <w:tcPr>
            <w:tcW w:w="1739" w:type="dxa"/>
          </w:tcPr>
          <w:p w:rsidR="00BB594B" w:rsidRPr="00BB594B" w:rsidRDefault="00BB594B" w:rsidP="00BB594B">
            <w:pPr>
              <w:rPr>
                <w:bCs/>
                <w:sz w:val="24"/>
                <w:szCs w:val="24"/>
                <w:lang w:val="ru-RU" w:eastAsia="ru-RU"/>
              </w:rPr>
            </w:pPr>
            <w:r w:rsidRPr="00BB594B">
              <w:rPr>
                <w:bCs/>
                <w:sz w:val="24"/>
                <w:szCs w:val="24"/>
                <w:lang w:val="ru-RU" w:eastAsia="ru-RU"/>
              </w:rPr>
              <w:t>301200</w:t>
            </w: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BB594B" w:rsidRPr="00BB594B" w:rsidRDefault="00BB594B" w:rsidP="00BB594B">
            <w:pPr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Погашено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позик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погашення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зовнішнього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запозичення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B594B" w:rsidRPr="00E93E0C" w:rsidRDefault="00E93E0C" w:rsidP="00BB594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1233,2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BB594B" w:rsidRPr="00E93E0C" w:rsidRDefault="00E93E0C" w:rsidP="00BB594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93E0C">
              <w:rPr>
                <w:bCs/>
                <w:sz w:val="24"/>
                <w:szCs w:val="24"/>
                <w:lang w:val="ru-RU" w:eastAsia="ru-RU"/>
              </w:rPr>
              <w:t>0</w:t>
            </w:r>
          </w:p>
        </w:tc>
      </w:tr>
      <w:tr w:rsidR="000A44FE" w:rsidRPr="00291849" w:rsidTr="004A29C2">
        <w:trPr>
          <w:trHeight w:val="348"/>
        </w:trPr>
        <w:tc>
          <w:tcPr>
            <w:tcW w:w="1739" w:type="dxa"/>
          </w:tcPr>
          <w:p w:rsidR="000A44FE" w:rsidRDefault="000A44FE" w:rsidP="004A29C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484D1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2.Ви</w:t>
            </w:r>
            <w:r w:rsidR="00484D1B">
              <w:rPr>
                <w:b/>
                <w:bCs/>
                <w:sz w:val="24"/>
                <w:szCs w:val="24"/>
                <w:lang w:val="ru-RU" w:eastAsia="ru-RU"/>
              </w:rPr>
              <w:t>трати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с</w:t>
            </w:r>
            <w:r w:rsidRPr="00291849">
              <w:rPr>
                <w:b/>
                <w:bCs/>
                <w:sz w:val="24"/>
                <w:szCs w:val="24"/>
                <w:lang w:val="ru-RU" w:eastAsia="ru-RU"/>
              </w:rPr>
              <w:t>пеціальн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ого</w:t>
            </w:r>
            <w:proofErr w:type="spellEnd"/>
            <w:r w:rsidRPr="00291849">
              <w:rPr>
                <w:b/>
                <w:bCs/>
                <w:sz w:val="24"/>
                <w:szCs w:val="24"/>
                <w:lang w:val="ru-RU" w:eastAsia="ru-RU"/>
              </w:rPr>
              <w:t xml:space="preserve"> фонд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у за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рахунок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доході</w:t>
            </w: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 w:eastAsia="ru-RU"/>
              </w:rPr>
              <w:t>спеціального</w:t>
            </w:r>
            <w:proofErr w:type="spell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фонду</w:t>
            </w:r>
            <w:r w:rsidRPr="00291849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291849" w:rsidRDefault="00BB594B" w:rsidP="00BB59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7</w:t>
            </w:r>
            <w:r w:rsidR="000A44FE">
              <w:rPr>
                <w:b/>
                <w:bCs/>
                <w:sz w:val="24"/>
                <w:szCs w:val="24"/>
                <w:lang w:val="ru-RU" w:eastAsia="ru-RU"/>
              </w:rPr>
              <w:t> 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500</w:t>
            </w:r>
            <w:r w:rsidR="000A44FE">
              <w:rPr>
                <w:b/>
                <w:bCs/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291849" w:rsidRDefault="00BB594B" w:rsidP="00BB59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7</w:t>
            </w:r>
            <w:r w:rsidR="000A44FE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  <w:r w:rsidR="000A44FE">
              <w:rPr>
                <w:b/>
                <w:bCs/>
                <w:sz w:val="24"/>
                <w:szCs w:val="24"/>
                <w:lang w:val="ru-RU" w:eastAsia="ru-RU"/>
              </w:rPr>
              <w:t>00,0</w:t>
            </w:r>
          </w:p>
        </w:tc>
      </w:tr>
      <w:tr w:rsidR="000A44FE" w:rsidRPr="00291849" w:rsidTr="004A29C2">
        <w:trPr>
          <w:trHeight w:val="348"/>
        </w:trPr>
        <w:tc>
          <w:tcPr>
            <w:tcW w:w="1739" w:type="dxa"/>
          </w:tcPr>
          <w:p w:rsidR="000A44FE" w:rsidRPr="00291849" w:rsidRDefault="000A44FE" w:rsidP="004A29C2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568" w:type="dxa"/>
            <w:shd w:val="clear" w:color="auto" w:fill="auto"/>
            <w:vAlign w:val="center"/>
            <w:hideMark/>
          </w:tcPr>
          <w:p w:rsidR="000A44FE" w:rsidRPr="00291849" w:rsidRDefault="000A44FE" w:rsidP="00DC49E7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91849">
              <w:rPr>
                <w:b/>
                <w:bCs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291849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C49E7">
              <w:rPr>
                <w:b/>
                <w:bCs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A44FE" w:rsidRPr="00291849" w:rsidRDefault="00BB594B" w:rsidP="00BB59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610</w:t>
            </w:r>
            <w:r w:rsidR="000A44FE">
              <w:rPr>
                <w:b/>
                <w:bCs/>
                <w:sz w:val="24"/>
                <w:szCs w:val="24"/>
                <w:lang w:val="ru-RU" w:eastAsia="ru-RU"/>
              </w:rPr>
              <w:t> 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407</w:t>
            </w:r>
            <w:r w:rsidR="000A44FE">
              <w:rPr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0A44FE" w:rsidRPr="00291849" w:rsidRDefault="00BB594B" w:rsidP="00BB59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650</w:t>
            </w:r>
            <w:r w:rsidR="000A44FE">
              <w:rPr>
                <w:b/>
                <w:bCs/>
                <w:sz w:val="24"/>
                <w:szCs w:val="24"/>
                <w:lang w:val="ru-RU" w:eastAsia="ru-RU"/>
              </w:rPr>
              <w:t> 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334</w:t>
            </w:r>
            <w:r w:rsidR="000A44FE">
              <w:rPr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0A44FE" w:rsidRDefault="000A44FE" w:rsidP="008A59BD">
      <w:pPr>
        <w:tabs>
          <w:tab w:val="left" w:pos="720"/>
          <w:tab w:val="left" w:pos="900"/>
        </w:tabs>
        <w:jc w:val="center"/>
        <w:rPr>
          <w:b/>
        </w:rPr>
      </w:pPr>
    </w:p>
    <w:p w:rsidR="00020184" w:rsidRDefault="00020184" w:rsidP="000A5AD6">
      <w:pPr>
        <w:jc w:val="center"/>
        <w:rPr>
          <w:color w:val="000000"/>
          <w:szCs w:val="28"/>
          <w:lang w:eastAsia="uk-UA"/>
        </w:rPr>
      </w:pPr>
    </w:p>
    <w:p w:rsidR="00020184" w:rsidRDefault="00020184" w:rsidP="00073E67">
      <w:pPr>
        <w:rPr>
          <w:color w:val="000000"/>
          <w:szCs w:val="28"/>
          <w:lang w:eastAsia="uk-UA"/>
        </w:rPr>
      </w:pPr>
    </w:p>
    <w:p w:rsidR="00073E67" w:rsidRDefault="00073E67" w:rsidP="00073E67">
      <w:pPr>
        <w:rPr>
          <w:color w:val="000000"/>
          <w:szCs w:val="28"/>
          <w:lang w:eastAsia="uk-UA"/>
        </w:rPr>
      </w:pPr>
    </w:p>
    <w:p w:rsidR="006F7653" w:rsidRDefault="00073E67" w:rsidP="00073E67">
      <w:pPr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Керуючий справами </w:t>
      </w:r>
    </w:p>
    <w:p w:rsidR="00073E67" w:rsidRDefault="006F7653" w:rsidP="00073E67">
      <w:pPr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виконавчого комітету</w:t>
      </w:r>
      <w:r w:rsidR="00073E67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                    </w:t>
      </w:r>
      <w:r w:rsidR="00073E67">
        <w:rPr>
          <w:color w:val="000000"/>
          <w:szCs w:val="28"/>
          <w:lang w:eastAsia="uk-UA"/>
        </w:rPr>
        <w:t xml:space="preserve">                                       </w:t>
      </w:r>
      <w:r w:rsidR="002A7736">
        <w:rPr>
          <w:color w:val="000000"/>
          <w:szCs w:val="28"/>
          <w:lang w:eastAsia="uk-UA"/>
        </w:rPr>
        <w:t>Б</w:t>
      </w:r>
      <w:r w:rsidR="00066603">
        <w:rPr>
          <w:color w:val="000000"/>
          <w:szCs w:val="28"/>
          <w:lang w:eastAsia="uk-UA"/>
        </w:rPr>
        <w:t xml:space="preserve">орис </w:t>
      </w:r>
      <w:r w:rsidR="002A7736">
        <w:rPr>
          <w:color w:val="000000"/>
          <w:szCs w:val="28"/>
          <w:lang w:eastAsia="uk-UA"/>
        </w:rPr>
        <w:t>Б</w:t>
      </w:r>
      <w:r w:rsidR="00066603">
        <w:rPr>
          <w:color w:val="000000"/>
          <w:szCs w:val="28"/>
          <w:lang w:eastAsia="uk-UA"/>
        </w:rPr>
        <w:t>ІРУК</w:t>
      </w:r>
    </w:p>
    <w:sectPr w:rsidR="00073E67" w:rsidSect="002A7736">
      <w:headerReference w:type="default" r:id="rId8"/>
      <w:footerReference w:type="default" r:id="rId9"/>
      <w:pgSz w:w="11906" w:h="16838"/>
      <w:pgMar w:top="851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44" w:rsidRDefault="000E2D44" w:rsidP="00B125F1">
      <w:r>
        <w:separator/>
      </w:r>
    </w:p>
  </w:endnote>
  <w:endnote w:type="continuationSeparator" w:id="1">
    <w:p w:rsidR="000E2D44" w:rsidRDefault="000E2D44" w:rsidP="00B12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9BD" w:rsidRDefault="008A59BD">
    <w:pPr>
      <w:pStyle w:val="ab"/>
      <w:jc w:val="right"/>
    </w:pPr>
  </w:p>
  <w:p w:rsidR="008A59BD" w:rsidRDefault="008A59B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44" w:rsidRDefault="000E2D44" w:rsidP="00B125F1">
      <w:r>
        <w:separator/>
      </w:r>
    </w:p>
  </w:footnote>
  <w:footnote w:type="continuationSeparator" w:id="1">
    <w:p w:rsidR="000E2D44" w:rsidRDefault="000E2D44" w:rsidP="00B12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8860"/>
      <w:docPartObj>
        <w:docPartGallery w:val="Page Numbers (Top of Page)"/>
        <w:docPartUnique/>
      </w:docPartObj>
    </w:sdtPr>
    <w:sdtContent>
      <w:p w:rsidR="002A7736" w:rsidRDefault="008858E5">
        <w:pPr>
          <w:pStyle w:val="a9"/>
          <w:jc w:val="center"/>
        </w:pPr>
        <w:fldSimple w:instr=" PAGE   \* MERGEFORMAT ">
          <w:r w:rsidR="005451CB">
            <w:rPr>
              <w:noProof/>
            </w:rPr>
            <w:t>2</w:t>
          </w:r>
        </w:fldSimple>
      </w:p>
    </w:sdtContent>
  </w:sdt>
  <w:p w:rsidR="002A7736" w:rsidRDefault="002A773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16850A"/>
    <w:multiLevelType w:val="hybridMultilevel"/>
    <w:tmpl w:val="7E17775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F985F97"/>
    <w:multiLevelType w:val="hybridMultilevel"/>
    <w:tmpl w:val="D7F4F4F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4F36EE"/>
    <w:multiLevelType w:val="hybridMultilevel"/>
    <w:tmpl w:val="E1C4DF56"/>
    <w:lvl w:ilvl="0" w:tplc="732CE5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5889095"/>
    <w:multiLevelType w:val="hybridMultilevel"/>
    <w:tmpl w:val="EF49877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5E42904"/>
    <w:multiLevelType w:val="hybridMultilevel"/>
    <w:tmpl w:val="A0B6D2AC"/>
    <w:lvl w:ilvl="0" w:tplc="8B908B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BD641DB"/>
    <w:multiLevelType w:val="hybridMultilevel"/>
    <w:tmpl w:val="525E62CC"/>
    <w:lvl w:ilvl="0" w:tplc="2F8A13A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716D00"/>
    <w:multiLevelType w:val="hybridMultilevel"/>
    <w:tmpl w:val="EDAA27A0"/>
    <w:lvl w:ilvl="0" w:tplc="940047CC">
      <w:start w:val="1"/>
      <w:numFmt w:val="bullet"/>
      <w:lvlText w:val="•"/>
      <w:lvlJc w:val="left"/>
      <w:pPr>
        <w:tabs>
          <w:tab w:val="num" w:pos="5180"/>
        </w:tabs>
        <w:ind w:left="5180" w:hanging="360"/>
      </w:pPr>
      <w:rPr>
        <w:rFonts w:ascii="Arial" w:hAnsi="Arial" w:hint="default"/>
      </w:rPr>
    </w:lvl>
    <w:lvl w:ilvl="1" w:tplc="BDF25CCA" w:tentative="1">
      <w:start w:val="1"/>
      <w:numFmt w:val="bullet"/>
      <w:lvlText w:val="•"/>
      <w:lvlJc w:val="left"/>
      <w:pPr>
        <w:tabs>
          <w:tab w:val="num" w:pos="5409"/>
        </w:tabs>
        <w:ind w:left="5409" w:hanging="360"/>
      </w:pPr>
      <w:rPr>
        <w:rFonts w:ascii="Arial" w:hAnsi="Arial" w:hint="default"/>
      </w:rPr>
    </w:lvl>
    <w:lvl w:ilvl="2" w:tplc="03C84EA6" w:tentative="1">
      <w:start w:val="1"/>
      <w:numFmt w:val="bullet"/>
      <w:lvlText w:val="•"/>
      <w:lvlJc w:val="left"/>
      <w:pPr>
        <w:tabs>
          <w:tab w:val="num" w:pos="6129"/>
        </w:tabs>
        <w:ind w:left="6129" w:hanging="360"/>
      </w:pPr>
      <w:rPr>
        <w:rFonts w:ascii="Arial" w:hAnsi="Arial" w:hint="default"/>
      </w:rPr>
    </w:lvl>
    <w:lvl w:ilvl="3" w:tplc="AE34AFD0" w:tentative="1">
      <w:start w:val="1"/>
      <w:numFmt w:val="bullet"/>
      <w:lvlText w:val="•"/>
      <w:lvlJc w:val="left"/>
      <w:pPr>
        <w:tabs>
          <w:tab w:val="num" w:pos="6849"/>
        </w:tabs>
        <w:ind w:left="6849" w:hanging="360"/>
      </w:pPr>
      <w:rPr>
        <w:rFonts w:ascii="Arial" w:hAnsi="Arial" w:hint="default"/>
      </w:rPr>
    </w:lvl>
    <w:lvl w:ilvl="4" w:tplc="603C47B6" w:tentative="1">
      <w:start w:val="1"/>
      <w:numFmt w:val="bullet"/>
      <w:lvlText w:val="•"/>
      <w:lvlJc w:val="left"/>
      <w:pPr>
        <w:tabs>
          <w:tab w:val="num" w:pos="7569"/>
        </w:tabs>
        <w:ind w:left="7569" w:hanging="360"/>
      </w:pPr>
      <w:rPr>
        <w:rFonts w:ascii="Arial" w:hAnsi="Arial" w:hint="default"/>
      </w:rPr>
    </w:lvl>
    <w:lvl w:ilvl="5" w:tplc="87DEDAB6" w:tentative="1">
      <w:start w:val="1"/>
      <w:numFmt w:val="bullet"/>
      <w:lvlText w:val="•"/>
      <w:lvlJc w:val="left"/>
      <w:pPr>
        <w:tabs>
          <w:tab w:val="num" w:pos="8289"/>
        </w:tabs>
        <w:ind w:left="8289" w:hanging="360"/>
      </w:pPr>
      <w:rPr>
        <w:rFonts w:ascii="Arial" w:hAnsi="Arial" w:hint="default"/>
      </w:rPr>
    </w:lvl>
    <w:lvl w:ilvl="6" w:tplc="1EA2807C" w:tentative="1">
      <w:start w:val="1"/>
      <w:numFmt w:val="bullet"/>
      <w:lvlText w:val="•"/>
      <w:lvlJc w:val="left"/>
      <w:pPr>
        <w:tabs>
          <w:tab w:val="num" w:pos="9009"/>
        </w:tabs>
        <w:ind w:left="9009" w:hanging="360"/>
      </w:pPr>
      <w:rPr>
        <w:rFonts w:ascii="Arial" w:hAnsi="Arial" w:hint="default"/>
      </w:rPr>
    </w:lvl>
    <w:lvl w:ilvl="7" w:tplc="82F454C2" w:tentative="1">
      <w:start w:val="1"/>
      <w:numFmt w:val="bullet"/>
      <w:lvlText w:val="•"/>
      <w:lvlJc w:val="left"/>
      <w:pPr>
        <w:tabs>
          <w:tab w:val="num" w:pos="9729"/>
        </w:tabs>
        <w:ind w:left="9729" w:hanging="360"/>
      </w:pPr>
      <w:rPr>
        <w:rFonts w:ascii="Arial" w:hAnsi="Arial" w:hint="default"/>
      </w:rPr>
    </w:lvl>
    <w:lvl w:ilvl="8" w:tplc="F7CA860C" w:tentative="1">
      <w:start w:val="1"/>
      <w:numFmt w:val="bullet"/>
      <w:lvlText w:val="•"/>
      <w:lvlJc w:val="left"/>
      <w:pPr>
        <w:tabs>
          <w:tab w:val="num" w:pos="10449"/>
        </w:tabs>
        <w:ind w:left="10449" w:hanging="360"/>
      </w:pPr>
      <w:rPr>
        <w:rFonts w:ascii="Arial" w:hAnsi="Arial" w:hint="default"/>
      </w:rPr>
    </w:lvl>
  </w:abstractNum>
  <w:abstractNum w:abstractNumId="7">
    <w:nsid w:val="153133A0"/>
    <w:multiLevelType w:val="hybridMultilevel"/>
    <w:tmpl w:val="C108C6C4"/>
    <w:lvl w:ilvl="0" w:tplc="C360BA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B53069B"/>
    <w:multiLevelType w:val="hybridMultilevel"/>
    <w:tmpl w:val="4CDCF200"/>
    <w:lvl w:ilvl="0" w:tplc="C360BAB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B82CB5"/>
    <w:multiLevelType w:val="hybridMultilevel"/>
    <w:tmpl w:val="CA941C1C"/>
    <w:lvl w:ilvl="0" w:tplc="8BD842CE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157D2F"/>
    <w:multiLevelType w:val="hybridMultilevel"/>
    <w:tmpl w:val="C9CC23F2"/>
    <w:lvl w:ilvl="0" w:tplc="C19AA7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DB14C"/>
    <w:multiLevelType w:val="hybridMultilevel"/>
    <w:tmpl w:val="892FA9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2A7747F4"/>
    <w:multiLevelType w:val="hybridMultilevel"/>
    <w:tmpl w:val="5BFAE008"/>
    <w:lvl w:ilvl="0" w:tplc="9600FEE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>
    <w:nsid w:val="2D703785"/>
    <w:multiLevelType w:val="hybridMultilevel"/>
    <w:tmpl w:val="0B02E98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2E8D65C2"/>
    <w:multiLevelType w:val="hybridMultilevel"/>
    <w:tmpl w:val="24983A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314E425D"/>
    <w:multiLevelType w:val="hybridMultilevel"/>
    <w:tmpl w:val="FF38BEA8"/>
    <w:lvl w:ilvl="0" w:tplc="B5120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75095"/>
    <w:multiLevelType w:val="hybridMultilevel"/>
    <w:tmpl w:val="6FC0BCE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D604545"/>
    <w:multiLevelType w:val="hybridMultilevel"/>
    <w:tmpl w:val="4E9070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DC4742"/>
    <w:multiLevelType w:val="hybridMultilevel"/>
    <w:tmpl w:val="F4EC82D8"/>
    <w:lvl w:ilvl="0" w:tplc="477819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08B6761"/>
    <w:multiLevelType w:val="hybridMultilevel"/>
    <w:tmpl w:val="4ED483C2"/>
    <w:lvl w:ilvl="0" w:tplc="B06A3F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38216C7"/>
    <w:multiLevelType w:val="hybridMultilevel"/>
    <w:tmpl w:val="BCE6569E"/>
    <w:lvl w:ilvl="0" w:tplc="ACB2D9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F37D25"/>
    <w:multiLevelType w:val="hybridMultilevel"/>
    <w:tmpl w:val="20244BCC"/>
    <w:lvl w:ilvl="0" w:tplc="77D0C5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F344189"/>
    <w:multiLevelType w:val="hybridMultilevel"/>
    <w:tmpl w:val="66F2DD3A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AC469A2C">
      <w:numFmt w:val="bullet"/>
      <w:lvlText w:val="-"/>
      <w:lvlJc w:val="left"/>
      <w:pPr>
        <w:tabs>
          <w:tab w:val="num" w:pos="2292"/>
        </w:tabs>
        <w:ind w:left="2292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23">
    <w:nsid w:val="50075F54"/>
    <w:multiLevelType w:val="hybridMultilevel"/>
    <w:tmpl w:val="E2347536"/>
    <w:lvl w:ilvl="0" w:tplc="823804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8C01454"/>
    <w:multiLevelType w:val="hybridMultilevel"/>
    <w:tmpl w:val="2FD2070E"/>
    <w:lvl w:ilvl="0" w:tplc="F6DC13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8F56D89"/>
    <w:multiLevelType w:val="hybridMultilevel"/>
    <w:tmpl w:val="5162920A"/>
    <w:lvl w:ilvl="0" w:tplc="FD3E0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5C4BED"/>
    <w:multiLevelType w:val="hybridMultilevel"/>
    <w:tmpl w:val="F530D868"/>
    <w:lvl w:ilvl="0" w:tplc="77D0C5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47BE5"/>
    <w:multiLevelType w:val="hybridMultilevel"/>
    <w:tmpl w:val="AF3E88F6"/>
    <w:lvl w:ilvl="0" w:tplc="04F8EE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3F5595"/>
    <w:multiLevelType w:val="hybridMultilevel"/>
    <w:tmpl w:val="21B80946"/>
    <w:lvl w:ilvl="0" w:tplc="10FCDA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28"/>
  </w:num>
  <w:num w:numId="5">
    <w:abstractNumId w:val="25"/>
  </w:num>
  <w:num w:numId="6">
    <w:abstractNumId w:val="7"/>
  </w:num>
  <w:num w:numId="7">
    <w:abstractNumId w:val="4"/>
  </w:num>
  <w:num w:numId="8">
    <w:abstractNumId w:val="20"/>
  </w:num>
  <w:num w:numId="9">
    <w:abstractNumId w:val="8"/>
  </w:num>
  <w:num w:numId="10">
    <w:abstractNumId w:val="27"/>
  </w:num>
  <w:num w:numId="11">
    <w:abstractNumId w:val="12"/>
  </w:num>
  <w:num w:numId="12">
    <w:abstractNumId w:val="5"/>
  </w:num>
  <w:num w:numId="13">
    <w:abstractNumId w:val="18"/>
  </w:num>
  <w:num w:numId="14">
    <w:abstractNumId w:val="10"/>
  </w:num>
  <w:num w:numId="15">
    <w:abstractNumId w:val="24"/>
  </w:num>
  <w:num w:numId="16">
    <w:abstractNumId w:val="11"/>
  </w:num>
  <w:num w:numId="17">
    <w:abstractNumId w:val="0"/>
  </w:num>
  <w:num w:numId="18">
    <w:abstractNumId w:val="1"/>
  </w:num>
  <w:num w:numId="19">
    <w:abstractNumId w:val="14"/>
  </w:num>
  <w:num w:numId="20">
    <w:abstractNumId w:val="3"/>
  </w:num>
  <w:num w:numId="21">
    <w:abstractNumId w:val="13"/>
  </w:num>
  <w:num w:numId="22">
    <w:abstractNumId w:val="19"/>
  </w:num>
  <w:num w:numId="23">
    <w:abstractNumId w:val="15"/>
  </w:num>
  <w:num w:numId="24">
    <w:abstractNumId w:val="23"/>
  </w:num>
  <w:num w:numId="25">
    <w:abstractNumId w:val="2"/>
  </w:num>
  <w:num w:numId="26">
    <w:abstractNumId w:val="21"/>
  </w:num>
  <w:num w:numId="27">
    <w:abstractNumId w:val="26"/>
  </w:num>
  <w:num w:numId="28">
    <w:abstractNumId w:val="22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9B4"/>
    <w:rsid w:val="00001263"/>
    <w:rsid w:val="00001357"/>
    <w:rsid w:val="000044BB"/>
    <w:rsid w:val="00006813"/>
    <w:rsid w:val="00011391"/>
    <w:rsid w:val="000116C4"/>
    <w:rsid w:val="000171AC"/>
    <w:rsid w:val="00020184"/>
    <w:rsid w:val="00023357"/>
    <w:rsid w:val="0002434B"/>
    <w:rsid w:val="00024ED5"/>
    <w:rsid w:val="00032691"/>
    <w:rsid w:val="00035BF8"/>
    <w:rsid w:val="00035EF5"/>
    <w:rsid w:val="00036595"/>
    <w:rsid w:val="000367AF"/>
    <w:rsid w:val="000369DD"/>
    <w:rsid w:val="00037178"/>
    <w:rsid w:val="000421F7"/>
    <w:rsid w:val="000422DF"/>
    <w:rsid w:val="00042C45"/>
    <w:rsid w:val="00043EB6"/>
    <w:rsid w:val="000447D0"/>
    <w:rsid w:val="00045D03"/>
    <w:rsid w:val="000554F7"/>
    <w:rsid w:val="00055EDF"/>
    <w:rsid w:val="00056EC3"/>
    <w:rsid w:val="00057287"/>
    <w:rsid w:val="00057867"/>
    <w:rsid w:val="000608AB"/>
    <w:rsid w:val="00061A9C"/>
    <w:rsid w:val="00063934"/>
    <w:rsid w:val="000644EC"/>
    <w:rsid w:val="00064AD4"/>
    <w:rsid w:val="00065CCA"/>
    <w:rsid w:val="000663B1"/>
    <w:rsid w:val="00066603"/>
    <w:rsid w:val="000676E6"/>
    <w:rsid w:val="0006774D"/>
    <w:rsid w:val="000710B6"/>
    <w:rsid w:val="00071521"/>
    <w:rsid w:val="000720AE"/>
    <w:rsid w:val="00072D0F"/>
    <w:rsid w:val="00073D57"/>
    <w:rsid w:val="00073E67"/>
    <w:rsid w:val="000747A8"/>
    <w:rsid w:val="0007613E"/>
    <w:rsid w:val="00080BD6"/>
    <w:rsid w:val="00081E3B"/>
    <w:rsid w:val="000830F8"/>
    <w:rsid w:val="0008363F"/>
    <w:rsid w:val="00083B81"/>
    <w:rsid w:val="00083FAF"/>
    <w:rsid w:val="000852F8"/>
    <w:rsid w:val="000871C0"/>
    <w:rsid w:val="0009008E"/>
    <w:rsid w:val="000902EF"/>
    <w:rsid w:val="000935CE"/>
    <w:rsid w:val="000957DF"/>
    <w:rsid w:val="00096F5F"/>
    <w:rsid w:val="000A0460"/>
    <w:rsid w:val="000A2827"/>
    <w:rsid w:val="000A44FE"/>
    <w:rsid w:val="000A5AD6"/>
    <w:rsid w:val="000A7103"/>
    <w:rsid w:val="000A78A6"/>
    <w:rsid w:val="000B092C"/>
    <w:rsid w:val="000B1914"/>
    <w:rsid w:val="000B3154"/>
    <w:rsid w:val="000B3197"/>
    <w:rsid w:val="000B3B98"/>
    <w:rsid w:val="000B418E"/>
    <w:rsid w:val="000B51BC"/>
    <w:rsid w:val="000B5B43"/>
    <w:rsid w:val="000B61DF"/>
    <w:rsid w:val="000C0F30"/>
    <w:rsid w:val="000C3CA1"/>
    <w:rsid w:val="000D6C58"/>
    <w:rsid w:val="000D7D09"/>
    <w:rsid w:val="000E0033"/>
    <w:rsid w:val="000E08E6"/>
    <w:rsid w:val="000E1ABB"/>
    <w:rsid w:val="000E2085"/>
    <w:rsid w:val="000E2C99"/>
    <w:rsid w:val="000E2D44"/>
    <w:rsid w:val="000E3BCB"/>
    <w:rsid w:val="000E4193"/>
    <w:rsid w:val="000F1A9D"/>
    <w:rsid w:val="000F204D"/>
    <w:rsid w:val="000F46F0"/>
    <w:rsid w:val="001011E3"/>
    <w:rsid w:val="0010129D"/>
    <w:rsid w:val="00103480"/>
    <w:rsid w:val="001039F0"/>
    <w:rsid w:val="001066CC"/>
    <w:rsid w:val="001078CF"/>
    <w:rsid w:val="00107B79"/>
    <w:rsid w:val="0011053F"/>
    <w:rsid w:val="00112AD2"/>
    <w:rsid w:val="001132A2"/>
    <w:rsid w:val="00113791"/>
    <w:rsid w:val="00117051"/>
    <w:rsid w:val="001179C5"/>
    <w:rsid w:val="00123656"/>
    <w:rsid w:val="00123D64"/>
    <w:rsid w:val="00123E8A"/>
    <w:rsid w:val="00126A01"/>
    <w:rsid w:val="0013050A"/>
    <w:rsid w:val="001306BB"/>
    <w:rsid w:val="00132895"/>
    <w:rsid w:val="001356AF"/>
    <w:rsid w:val="00136CC4"/>
    <w:rsid w:val="0013768A"/>
    <w:rsid w:val="001424B4"/>
    <w:rsid w:val="00145473"/>
    <w:rsid w:val="0014642E"/>
    <w:rsid w:val="00150293"/>
    <w:rsid w:val="00152CCF"/>
    <w:rsid w:val="00161700"/>
    <w:rsid w:val="00161DC6"/>
    <w:rsid w:val="00163446"/>
    <w:rsid w:val="00163D1D"/>
    <w:rsid w:val="00165F21"/>
    <w:rsid w:val="0017223E"/>
    <w:rsid w:val="00175119"/>
    <w:rsid w:val="00176280"/>
    <w:rsid w:val="00176DA1"/>
    <w:rsid w:val="00181436"/>
    <w:rsid w:val="001853F0"/>
    <w:rsid w:val="00185F04"/>
    <w:rsid w:val="0019097D"/>
    <w:rsid w:val="0019429B"/>
    <w:rsid w:val="0019484D"/>
    <w:rsid w:val="00195560"/>
    <w:rsid w:val="00196DF0"/>
    <w:rsid w:val="0019786C"/>
    <w:rsid w:val="001A475B"/>
    <w:rsid w:val="001A56B6"/>
    <w:rsid w:val="001B0426"/>
    <w:rsid w:val="001B1335"/>
    <w:rsid w:val="001B22D2"/>
    <w:rsid w:val="001B2C78"/>
    <w:rsid w:val="001B6318"/>
    <w:rsid w:val="001B7CB5"/>
    <w:rsid w:val="001C23EE"/>
    <w:rsid w:val="001C26F3"/>
    <w:rsid w:val="001C32E1"/>
    <w:rsid w:val="001C39A0"/>
    <w:rsid w:val="001C3F71"/>
    <w:rsid w:val="001C5B93"/>
    <w:rsid w:val="001C6D8F"/>
    <w:rsid w:val="001D52FF"/>
    <w:rsid w:val="001D56EE"/>
    <w:rsid w:val="001D67BD"/>
    <w:rsid w:val="001E369E"/>
    <w:rsid w:val="001E5B15"/>
    <w:rsid w:val="001E70A1"/>
    <w:rsid w:val="001E7B26"/>
    <w:rsid w:val="001F0173"/>
    <w:rsid w:val="001F11CD"/>
    <w:rsid w:val="001F576C"/>
    <w:rsid w:val="00202347"/>
    <w:rsid w:val="002045C7"/>
    <w:rsid w:val="00207D7C"/>
    <w:rsid w:val="002104E7"/>
    <w:rsid w:val="0021095A"/>
    <w:rsid w:val="00212074"/>
    <w:rsid w:val="00212DA6"/>
    <w:rsid w:val="0021352A"/>
    <w:rsid w:val="00213BDC"/>
    <w:rsid w:val="0021483F"/>
    <w:rsid w:val="002160A7"/>
    <w:rsid w:val="00222FC0"/>
    <w:rsid w:val="002261A7"/>
    <w:rsid w:val="002266D6"/>
    <w:rsid w:val="00231CA0"/>
    <w:rsid w:val="002342CC"/>
    <w:rsid w:val="00236C28"/>
    <w:rsid w:val="0024643E"/>
    <w:rsid w:val="002466FC"/>
    <w:rsid w:val="002518B5"/>
    <w:rsid w:val="00253E9B"/>
    <w:rsid w:val="00254BB5"/>
    <w:rsid w:val="00260DE4"/>
    <w:rsid w:val="00261B00"/>
    <w:rsid w:val="0026348B"/>
    <w:rsid w:val="00266482"/>
    <w:rsid w:val="00267358"/>
    <w:rsid w:val="00267A81"/>
    <w:rsid w:val="002704B4"/>
    <w:rsid w:val="00272FB8"/>
    <w:rsid w:val="0027359F"/>
    <w:rsid w:val="00273912"/>
    <w:rsid w:val="00277BDB"/>
    <w:rsid w:val="002807DC"/>
    <w:rsid w:val="0028194E"/>
    <w:rsid w:val="002847FD"/>
    <w:rsid w:val="002879D5"/>
    <w:rsid w:val="00290F74"/>
    <w:rsid w:val="00291849"/>
    <w:rsid w:val="00292586"/>
    <w:rsid w:val="0029439E"/>
    <w:rsid w:val="00296BEB"/>
    <w:rsid w:val="002973CF"/>
    <w:rsid w:val="002A00B4"/>
    <w:rsid w:val="002A0389"/>
    <w:rsid w:val="002A0F17"/>
    <w:rsid w:val="002A0F3F"/>
    <w:rsid w:val="002A31B3"/>
    <w:rsid w:val="002A3ADF"/>
    <w:rsid w:val="002A5506"/>
    <w:rsid w:val="002A7701"/>
    <w:rsid w:val="002A7736"/>
    <w:rsid w:val="002B02E0"/>
    <w:rsid w:val="002B25A7"/>
    <w:rsid w:val="002B5D60"/>
    <w:rsid w:val="002C0325"/>
    <w:rsid w:val="002C3969"/>
    <w:rsid w:val="002D282C"/>
    <w:rsid w:val="002D5F48"/>
    <w:rsid w:val="002D69FE"/>
    <w:rsid w:val="002D6CF6"/>
    <w:rsid w:val="002D76AB"/>
    <w:rsid w:val="002E0C6B"/>
    <w:rsid w:val="002E5DEC"/>
    <w:rsid w:val="002F2544"/>
    <w:rsid w:val="00301B59"/>
    <w:rsid w:val="00301C77"/>
    <w:rsid w:val="00301F9D"/>
    <w:rsid w:val="00304181"/>
    <w:rsid w:val="003047F2"/>
    <w:rsid w:val="00304A5A"/>
    <w:rsid w:val="00310C7E"/>
    <w:rsid w:val="00311E18"/>
    <w:rsid w:val="00315A6E"/>
    <w:rsid w:val="0031735D"/>
    <w:rsid w:val="0031750E"/>
    <w:rsid w:val="00321BB4"/>
    <w:rsid w:val="0032233B"/>
    <w:rsid w:val="003258F1"/>
    <w:rsid w:val="00327B05"/>
    <w:rsid w:val="00331390"/>
    <w:rsid w:val="003337EC"/>
    <w:rsid w:val="00335D29"/>
    <w:rsid w:val="00337C18"/>
    <w:rsid w:val="0034343A"/>
    <w:rsid w:val="003442AF"/>
    <w:rsid w:val="00345141"/>
    <w:rsid w:val="00345322"/>
    <w:rsid w:val="00345492"/>
    <w:rsid w:val="003475B3"/>
    <w:rsid w:val="00347823"/>
    <w:rsid w:val="00347CE6"/>
    <w:rsid w:val="003503D5"/>
    <w:rsid w:val="0035178F"/>
    <w:rsid w:val="00351A3A"/>
    <w:rsid w:val="0035587A"/>
    <w:rsid w:val="00365ECF"/>
    <w:rsid w:val="003661C8"/>
    <w:rsid w:val="00367830"/>
    <w:rsid w:val="003708CC"/>
    <w:rsid w:val="00371363"/>
    <w:rsid w:val="0037416E"/>
    <w:rsid w:val="00374F8A"/>
    <w:rsid w:val="00376E54"/>
    <w:rsid w:val="003810AC"/>
    <w:rsid w:val="00381B64"/>
    <w:rsid w:val="003910C0"/>
    <w:rsid w:val="0039229E"/>
    <w:rsid w:val="003927C9"/>
    <w:rsid w:val="003B000D"/>
    <w:rsid w:val="003B172D"/>
    <w:rsid w:val="003B26E2"/>
    <w:rsid w:val="003B3983"/>
    <w:rsid w:val="003B39BD"/>
    <w:rsid w:val="003B4B64"/>
    <w:rsid w:val="003B59FF"/>
    <w:rsid w:val="003C0671"/>
    <w:rsid w:val="003C08CE"/>
    <w:rsid w:val="003C5BD0"/>
    <w:rsid w:val="003C5C60"/>
    <w:rsid w:val="003D5AC4"/>
    <w:rsid w:val="003D6220"/>
    <w:rsid w:val="003D7C40"/>
    <w:rsid w:val="003E1AD1"/>
    <w:rsid w:val="003E23F2"/>
    <w:rsid w:val="003E44DD"/>
    <w:rsid w:val="003E6244"/>
    <w:rsid w:val="003F505E"/>
    <w:rsid w:val="003F5DFB"/>
    <w:rsid w:val="004000D6"/>
    <w:rsid w:val="00400E37"/>
    <w:rsid w:val="00402EFD"/>
    <w:rsid w:val="00405D8E"/>
    <w:rsid w:val="004107F1"/>
    <w:rsid w:val="0041245C"/>
    <w:rsid w:val="0041478E"/>
    <w:rsid w:val="00416BD7"/>
    <w:rsid w:val="00421D69"/>
    <w:rsid w:val="0042277A"/>
    <w:rsid w:val="004233B7"/>
    <w:rsid w:val="0042720F"/>
    <w:rsid w:val="004273DA"/>
    <w:rsid w:val="00427505"/>
    <w:rsid w:val="00431122"/>
    <w:rsid w:val="0043149D"/>
    <w:rsid w:val="0043248D"/>
    <w:rsid w:val="0043361B"/>
    <w:rsid w:val="00437A6E"/>
    <w:rsid w:val="00443CB8"/>
    <w:rsid w:val="00444EDA"/>
    <w:rsid w:val="004450C0"/>
    <w:rsid w:val="004521D4"/>
    <w:rsid w:val="00454EF3"/>
    <w:rsid w:val="00460584"/>
    <w:rsid w:val="004611FA"/>
    <w:rsid w:val="00461802"/>
    <w:rsid w:val="00462BB7"/>
    <w:rsid w:val="00462F3B"/>
    <w:rsid w:val="00463D47"/>
    <w:rsid w:val="00473568"/>
    <w:rsid w:val="004743FA"/>
    <w:rsid w:val="0047798E"/>
    <w:rsid w:val="00477D17"/>
    <w:rsid w:val="00480DB5"/>
    <w:rsid w:val="00481346"/>
    <w:rsid w:val="00482085"/>
    <w:rsid w:val="00482106"/>
    <w:rsid w:val="00483B95"/>
    <w:rsid w:val="004844F0"/>
    <w:rsid w:val="00484D1B"/>
    <w:rsid w:val="00486A31"/>
    <w:rsid w:val="00492466"/>
    <w:rsid w:val="00492A89"/>
    <w:rsid w:val="00493772"/>
    <w:rsid w:val="00494AF8"/>
    <w:rsid w:val="0049730F"/>
    <w:rsid w:val="004A05C1"/>
    <w:rsid w:val="004A475F"/>
    <w:rsid w:val="004A4F20"/>
    <w:rsid w:val="004A54FA"/>
    <w:rsid w:val="004A68B8"/>
    <w:rsid w:val="004B0BBD"/>
    <w:rsid w:val="004B13EF"/>
    <w:rsid w:val="004B2DC2"/>
    <w:rsid w:val="004B57E8"/>
    <w:rsid w:val="004C17E8"/>
    <w:rsid w:val="004C1F22"/>
    <w:rsid w:val="004C276D"/>
    <w:rsid w:val="004C6FC3"/>
    <w:rsid w:val="004D0184"/>
    <w:rsid w:val="004D0D4F"/>
    <w:rsid w:val="004D3522"/>
    <w:rsid w:val="004D35D2"/>
    <w:rsid w:val="004D4164"/>
    <w:rsid w:val="004D4927"/>
    <w:rsid w:val="004D5E7E"/>
    <w:rsid w:val="004D5EFD"/>
    <w:rsid w:val="004D73D4"/>
    <w:rsid w:val="004E3E6E"/>
    <w:rsid w:val="004E5994"/>
    <w:rsid w:val="004E5BF6"/>
    <w:rsid w:val="004E7CE2"/>
    <w:rsid w:val="004F19D2"/>
    <w:rsid w:val="004F5089"/>
    <w:rsid w:val="004F5F3C"/>
    <w:rsid w:val="005030EC"/>
    <w:rsid w:val="005047B1"/>
    <w:rsid w:val="005054A5"/>
    <w:rsid w:val="005062B0"/>
    <w:rsid w:val="005063E9"/>
    <w:rsid w:val="005127A8"/>
    <w:rsid w:val="00513D6B"/>
    <w:rsid w:val="00514689"/>
    <w:rsid w:val="005152A5"/>
    <w:rsid w:val="00520EB7"/>
    <w:rsid w:val="00521F06"/>
    <w:rsid w:val="00522074"/>
    <w:rsid w:val="005222A3"/>
    <w:rsid w:val="00523C07"/>
    <w:rsid w:val="00525D94"/>
    <w:rsid w:val="00531C7F"/>
    <w:rsid w:val="00534234"/>
    <w:rsid w:val="005451CB"/>
    <w:rsid w:val="00545B9D"/>
    <w:rsid w:val="00552D93"/>
    <w:rsid w:val="005530ED"/>
    <w:rsid w:val="0055708A"/>
    <w:rsid w:val="00560C77"/>
    <w:rsid w:val="005619EE"/>
    <w:rsid w:val="00561A57"/>
    <w:rsid w:val="00562354"/>
    <w:rsid w:val="00566216"/>
    <w:rsid w:val="0056671B"/>
    <w:rsid w:val="00570C01"/>
    <w:rsid w:val="005729E4"/>
    <w:rsid w:val="005748DE"/>
    <w:rsid w:val="00574BE7"/>
    <w:rsid w:val="005764E6"/>
    <w:rsid w:val="005817A3"/>
    <w:rsid w:val="0058195E"/>
    <w:rsid w:val="00587C21"/>
    <w:rsid w:val="005906B0"/>
    <w:rsid w:val="00594ACE"/>
    <w:rsid w:val="005A18FD"/>
    <w:rsid w:val="005A1C12"/>
    <w:rsid w:val="005A1F5A"/>
    <w:rsid w:val="005A29B4"/>
    <w:rsid w:val="005A3165"/>
    <w:rsid w:val="005A3689"/>
    <w:rsid w:val="005A3A32"/>
    <w:rsid w:val="005A6E91"/>
    <w:rsid w:val="005A7809"/>
    <w:rsid w:val="005A79DA"/>
    <w:rsid w:val="005B392D"/>
    <w:rsid w:val="005B4351"/>
    <w:rsid w:val="005B5D73"/>
    <w:rsid w:val="005B6801"/>
    <w:rsid w:val="005C1D77"/>
    <w:rsid w:val="005C27F6"/>
    <w:rsid w:val="005C2CF1"/>
    <w:rsid w:val="005C51AE"/>
    <w:rsid w:val="005C7C6C"/>
    <w:rsid w:val="005D00CB"/>
    <w:rsid w:val="005D3E46"/>
    <w:rsid w:val="005D472B"/>
    <w:rsid w:val="005D6F8A"/>
    <w:rsid w:val="005E45FF"/>
    <w:rsid w:val="005E59D1"/>
    <w:rsid w:val="005E59DB"/>
    <w:rsid w:val="005F1884"/>
    <w:rsid w:val="005F642A"/>
    <w:rsid w:val="005F68A1"/>
    <w:rsid w:val="005F69ED"/>
    <w:rsid w:val="00600EC8"/>
    <w:rsid w:val="00601441"/>
    <w:rsid w:val="00601A97"/>
    <w:rsid w:val="00605A46"/>
    <w:rsid w:val="00605BC2"/>
    <w:rsid w:val="00607BBC"/>
    <w:rsid w:val="00611F6D"/>
    <w:rsid w:val="0061255C"/>
    <w:rsid w:val="00616910"/>
    <w:rsid w:val="00617911"/>
    <w:rsid w:val="00620B86"/>
    <w:rsid w:val="006213A5"/>
    <w:rsid w:val="00621D5B"/>
    <w:rsid w:val="00625F6E"/>
    <w:rsid w:val="00627469"/>
    <w:rsid w:val="00632EDD"/>
    <w:rsid w:val="00634DC8"/>
    <w:rsid w:val="00637EAC"/>
    <w:rsid w:val="006400A0"/>
    <w:rsid w:val="0064110C"/>
    <w:rsid w:val="00647A1D"/>
    <w:rsid w:val="00650FD1"/>
    <w:rsid w:val="00652F3E"/>
    <w:rsid w:val="00653897"/>
    <w:rsid w:val="00653E64"/>
    <w:rsid w:val="00655C2E"/>
    <w:rsid w:val="006573DE"/>
    <w:rsid w:val="00657D11"/>
    <w:rsid w:val="00660D64"/>
    <w:rsid w:val="00662F57"/>
    <w:rsid w:val="0066311D"/>
    <w:rsid w:val="00664C29"/>
    <w:rsid w:val="0067100A"/>
    <w:rsid w:val="006755E0"/>
    <w:rsid w:val="00675FB7"/>
    <w:rsid w:val="006807FD"/>
    <w:rsid w:val="00682521"/>
    <w:rsid w:val="00684619"/>
    <w:rsid w:val="00685CB1"/>
    <w:rsid w:val="00690838"/>
    <w:rsid w:val="006946C0"/>
    <w:rsid w:val="00696F56"/>
    <w:rsid w:val="006A17AD"/>
    <w:rsid w:val="006A1ABD"/>
    <w:rsid w:val="006A1C86"/>
    <w:rsid w:val="006A401E"/>
    <w:rsid w:val="006A6014"/>
    <w:rsid w:val="006B0C32"/>
    <w:rsid w:val="006C0F61"/>
    <w:rsid w:val="006C2385"/>
    <w:rsid w:val="006C352E"/>
    <w:rsid w:val="006C3707"/>
    <w:rsid w:val="006C5AD7"/>
    <w:rsid w:val="006C5C0D"/>
    <w:rsid w:val="006C5C69"/>
    <w:rsid w:val="006C6581"/>
    <w:rsid w:val="006C798E"/>
    <w:rsid w:val="006D4239"/>
    <w:rsid w:val="006D51ED"/>
    <w:rsid w:val="006D5D18"/>
    <w:rsid w:val="006E5422"/>
    <w:rsid w:val="006F23BD"/>
    <w:rsid w:val="006F69F6"/>
    <w:rsid w:val="006F7653"/>
    <w:rsid w:val="00700558"/>
    <w:rsid w:val="00704081"/>
    <w:rsid w:val="00707C05"/>
    <w:rsid w:val="00707CE5"/>
    <w:rsid w:val="00707F1B"/>
    <w:rsid w:val="00710646"/>
    <w:rsid w:val="0071295E"/>
    <w:rsid w:val="00713F04"/>
    <w:rsid w:val="0071688A"/>
    <w:rsid w:val="00716BD9"/>
    <w:rsid w:val="007255E5"/>
    <w:rsid w:val="00725F0D"/>
    <w:rsid w:val="00725FC8"/>
    <w:rsid w:val="00731DD2"/>
    <w:rsid w:val="00732D7C"/>
    <w:rsid w:val="007347EE"/>
    <w:rsid w:val="007368A8"/>
    <w:rsid w:val="00741F23"/>
    <w:rsid w:val="00744632"/>
    <w:rsid w:val="007459A9"/>
    <w:rsid w:val="0074638E"/>
    <w:rsid w:val="007473CF"/>
    <w:rsid w:val="007538C1"/>
    <w:rsid w:val="00754693"/>
    <w:rsid w:val="00754C24"/>
    <w:rsid w:val="00756200"/>
    <w:rsid w:val="00756C77"/>
    <w:rsid w:val="00756EA1"/>
    <w:rsid w:val="00767EB3"/>
    <w:rsid w:val="00772EA4"/>
    <w:rsid w:val="007770D3"/>
    <w:rsid w:val="00781D48"/>
    <w:rsid w:val="00784744"/>
    <w:rsid w:val="00784F22"/>
    <w:rsid w:val="007867EA"/>
    <w:rsid w:val="00786836"/>
    <w:rsid w:val="0079071C"/>
    <w:rsid w:val="00797052"/>
    <w:rsid w:val="007973CE"/>
    <w:rsid w:val="007B0C43"/>
    <w:rsid w:val="007B1724"/>
    <w:rsid w:val="007B4C8D"/>
    <w:rsid w:val="007B5BB2"/>
    <w:rsid w:val="007C1608"/>
    <w:rsid w:val="007C1CC6"/>
    <w:rsid w:val="007C25AA"/>
    <w:rsid w:val="007C29E3"/>
    <w:rsid w:val="007C4810"/>
    <w:rsid w:val="007C508A"/>
    <w:rsid w:val="007C5BA7"/>
    <w:rsid w:val="007D0731"/>
    <w:rsid w:val="007D0BBA"/>
    <w:rsid w:val="007D0F7B"/>
    <w:rsid w:val="007D6D17"/>
    <w:rsid w:val="007D794A"/>
    <w:rsid w:val="007E0216"/>
    <w:rsid w:val="007E36D8"/>
    <w:rsid w:val="007E38E0"/>
    <w:rsid w:val="007E414A"/>
    <w:rsid w:val="007E5ACE"/>
    <w:rsid w:val="007E752D"/>
    <w:rsid w:val="007F2A94"/>
    <w:rsid w:val="007F4029"/>
    <w:rsid w:val="007F411A"/>
    <w:rsid w:val="007F4538"/>
    <w:rsid w:val="007F6CF7"/>
    <w:rsid w:val="00800525"/>
    <w:rsid w:val="0080207E"/>
    <w:rsid w:val="0080350F"/>
    <w:rsid w:val="00807418"/>
    <w:rsid w:val="00811897"/>
    <w:rsid w:val="00811BA5"/>
    <w:rsid w:val="00816DC0"/>
    <w:rsid w:val="00830C89"/>
    <w:rsid w:val="00832CEB"/>
    <w:rsid w:val="00833A9C"/>
    <w:rsid w:val="00834EFE"/>
    <w:rsid w:val="00835FD7"/>
    <w:rsid w:val="00837FCA"/>
    <w:rsid w:val="008400F3"/>
    <w:rsid w:val="008401FD"/>
    <w:rsid w:val="00840A91"/>
    <w:rsid w:val="008419EF"/>
    <w:rsid w:val="00842E96"/>
    <w:rsid w:val="008431F7"/>
    <w:rsid w:val="00847989"/>
    <w:rsid w:val="00847A76"/>
    <w:rsid w:val="008521C5"/>
    <w:rsid w:val="00853D51"/>
    <w:rsid w:val="008556B1"/>
    <w:rsid w:val="00855939"/>
    <w:rsid w:val="00856634"/>
    <w:rsid w:val="0086140F"/>
    <w:rsid w:val="0086155D"/>
    <w:rsid w:val="0086242E"/>
    <w:rsid w:val="008628F4"/>
    <w:rsid w:val="00862EE7"/>
    <w:rsid w:val="00863EAB"/>
    <w:rsid w:val="00865A9A"/>
    <w:rsid w:val="00865E29"/>
    <w:rsid w:val="00866A2B"/>
    <w:rsid w:val="0086713A"/>
    <w:rsid w:val="00870B87"/>
    <w:rsid w:val="008717B8"/>
    <w:rsid w:val="00871A72"/>
    <w:rsid w:val="008725C1"/>
    <w:rsid w:val="00874049"/>
    <w:rsid w:val="00875D88"/>
    <w:rsid w:val="00876721"/>
    <w:rsid w:val="00881BD7"/>
    <w:rsid w:val="008845BF"/>
    <w:rsid w:val="00884946"/>
    <w:rsid w:val="008858E5"/>
    <w:rsid w:val="00890CB4"/>
    <w:rsid w:val="0089186B"/>
    <w:rsid w:val="00891B11"/>
    <w:rsid w:val="00892962"/>
    <w:rsid w:val="00895F14"/>
    <w:rsid w:val="008A09E3"/>
    <w:rsid w:val="008A312B"/>
    <w:rsid w:val="008A59BD"/>
    <w:rsid w:val="008A6150"/>
    <w:rsid w:val="008A73C7"/>
    <w:rsid w:val="008A7C69"/>
    <w:rsid w:val="008B1727"/>
    <w:rsid w:val="008B3DA4"/>
    <w:rsid w:val="008B7CA5"/>
    <w:rsid w:val="008C0ACC"/>
    <w:rsid w:val="008C11AB"/>
    <w:rsid w:val="008C243C"/>
    <w:rsid w:val="008C3FF9"/>
    <w:rsid w:val="008D2FC0"/>
    <w:rsid w:val="008D7709"/>
    <w:rsid w:val="008E184A"/>
    <w:rsid w:val="008E31A2"/>
    <w:rsid w:val="008E766C"/>
    <w:rsid w:val="008F1977"/>
    <w:rsid w:val="008F2117"/>
    <w:rsid w:val="008F7F09"/>
    <w:rsid w:val="009020E3"/>
    <w:rsid w:val="00903D49"/>
    <w:rsid w:val="009047AF"/>
    <w:rsid w:val="0090514D"/>
    <w:rsid w:val="00906D61"/>
    <w:rsid w:val="009074B6"/>
    <w:rsid w:val="00910C28"/>
    <w:rsid w:val="0091362D"/>
    <w:rsid w:val="00913D18"/>
    <w:rsid w:val="0091663B"/>
    <w:rsid w:val="0092131B"/>
    <w:rsid w:val="00922098"/>
    <w:rsid w:val="009265C0"/>
    <w:rsid w:val="00926B85"/>
    <w:rsid w:val="0093100F"/>
    <w:rsid w:val="009363A0"/>
    <w:rsid w:val="00940863"/>
    <w:rsid w:val="00941B0C"/>
    <w:rsid w:val="00941D42"/>
    <w:rsid w:val="009539FA"/>
    <w:rsid w:val="00953B83"/>
    <w:rsid w:val="00954EB2"/>
    <w:rsid w:val="00955B14"/>
    <w:rsid w:val="009605DA"/>
    <w:rsid w:val="00960694"/>
    <w:rsid w:val="00960B7F"/>
    <w:rsid w:val="00960E07"/>
    <w:rsid w:val="009614C3"/>
    <w:rsid w:val="009639A1"/>
    <w:rsid w:val="0096562D"/>
    <w:rsid w:val="00965EA0"/>
    <w:rsid w:val="00970615"/>
    <w:rsid w:val="00970CA0"/>
    <w:rsid w:val="00971526"/>
    <w:rsid w:val="009716F7"/>
    <w:rsid w:val="00972C7B"/>
    <w:rsid w:val="00973C1A"/>
    <w:rsid w:val="00975BD0"/>
    <w:rsid w:val="009764B0"/>
    <w:rsid w:val="009766C7"/>
    <w:rsid w:val="00981269"/>
    <w:rsid w:val="0098582C"/>
    <w:rsid w:val="00987591"/>
    <w:rsid w:val="009915E1"/>
    <w:rsid w:val="00991FDC"/>
    <w:rsid w:val="00992E09"/>
    <w:rsid w:val="00995B44"/>
    <w:rsid w:val="00997606"/>
    <w:rsid w:val="0099772E"/>
    <w:rsid w:val="009A18F4"/>
    <w:rsid w:val="009A1ECB"/>
    <w:rsid w:val="009A338D"/>
    <w:rsid w:val="009A4371"/>
    <w:rsid w:val="009A5E17"/>
    <w:rsid w:val="009A6D9D"/>
    <w:rsid w:val="009B0332"/>
    <w:rsid w:val="009B2799"/>
    <w:rsid w:val="009B540A"/>
    <w:rsid w:val="009B6AC2"/>
    <w:rsid w:val="009C342E"/>
    <w:rsid w:val="009C40F5"/>
    <w:rsid w:val="009C5A4B"/>
    <w:rsid w:val="009C5F63"/>
    <w:rsid w:val="009C7AE4"/>
    <w:rsid w:val="009D20A9"/>
    <w:rsid w:val="009D274B"/>
    <w:rsid w:val="009E190D"/>
    <w:rsid w:val="009E2B03"/>
    <w:rsid w:val="009E447F"/>
    <w:rsid w:val="009E48CC"/>
    <w:rsid w:val="009E663F"/>
    <w:rsid w:val="009F47DF"/>
    <w:rsid w:val="009F7CB4"/>
    <w:rsid w:val="00A053A5"/>
    <w:rsid w:val="00A06E1D"/>
    <w:rsid w:val="00A12D75"/>
    <w:rsid w:val="00A15FB4"/>
    <w:rsid w:val="00A16338"/>
    <w:rsid w:val="00A16606"/>
    <w:rsid w:val="00A1713D"/>
    <w:rsid w:val="00A178DB"/>
    <w:rsid w:val="00A17A56"/>
    <w:rsid w:val="00A20376"/>
    <w:rsid w:val="00A206E1"/>
    <w:rsid w:val="00A21498"/>
    <w:rsid w:val="00A21602"/>
    <w:rsid w:val="00A23FDE"/>
    <w:rsid w:val="00A31244"/>
    <w:rsid w:val="00A3408D"/>
    <w:rsid w:val="00A345AC"/>
    <w:rsid w:val="00A41A8C"/>
    <w:rsid w:val="00A459CA"/>
    <w:rsid w:val="00A46A88"/>
    <w:rsid w:val="00A50570"/>
    <w:rsid w:val="00A563D8"/>
    <w:rsid w:val="00A5740D"/>
    <w:rsid w:val="00A60B0B"/>
    <w:rsid w:val="00A618B2"/>
    <w:rsid w:val="00A61DC3"/>
    <w:rsid w:val="00A63044"/>
    <w:rsid w:val="00A6489C"/>
    <w:rsid w:val="00A649C5"/>
    <w:rsid w:val="00A6778F"/>
    <w:rsid w:val="00A7226D"/>
    <w:rsid w:val="00A724A5"/>
    <w:rsid w:val="00A76E5E"/>
    <w:rsid w:val="00A7774D"/>
    <w:rsid w:val="00A77F2A"/>
    <w:rsid w:val="00A84F62"/>
    <w:rsid w:val="00A92316"/>
    <w:rsid w:val="00A952C8"/>
    <w:rsid w:val="00A96689"/>
    <w:rsid w:val="00A96DE4"/>
    <w:rsid w:val="00AA12CA"/>
    <w:rsid w:val="00AA19E6"/>
    <w:rsid w:val="00AB1737"/>
    <w:rsid w:val="00AB4938"/>
    <w:rsid w:val="00AB510B"/>
    <w:rsid w:val="00AB701D"/>
    <w:rsid w:val="00AB7BD4"/>
    <w:rsid w:val="00AC0795"/>
    <w:rsid w:val="00AC0A22"/>
    <w:rsid w:val="00AC1963"/>
    <w:rsid w:val="00AC29B8"/>
    <w:rsid w:val="00AC351A"/>
    <w:rsid w:val="00AC586E"/>
    <w:rsid w:val="00AD0610"/>
    <w:rsid w:val="00AD6520"/>
    <w:rsid w:val="00AE231B"/>
    <w:rsid w:val="00AE40B2"/>
    <w:rsid w:val="00AE5559"/>
    <w:rsid w:val="00AF00B2"/>
    <w:rsid w:val="00AF3B46"/>
    <w:rsid w:val="00AF62CB"/>
    <w:rsid w:val="00AF7608"/>
    <w:rsid w:val="00B01FBE"/>
    <w:rsid w:val="00B04161"/>
    <w:rsid w:val="00B045E1"/>
    <w:rsid w:val="00B0577E"/>
    <w:rsid w:val="00B07E8B"/>
    <w:rsid w:val="00B107DB"/>
    <w:rsid w:val="00B11C8E"/>
    <w:rsid w:val="00B125F1"/>
    <w:rsid w:val="00B147EA"/>
    <w:rsid w:val="00B1498D"/>
    <w:rsid w:val="00B15E1C"/>
    <w:rsid w:val="00B21142"/>
    <w:rsid w:val="00B25B20"/>
    <w:rsid w:val="00B312BA"/>
    <w:rsid w:val="00B31CCA"/>
    <w:rsid w:val="00B35669"/>
    <w:rsid w:val="00B4035F"/>
    <w:rsid w:val="00B41B79"/>
    <w:rsid w:val="00B43F05"/>
    <w:rsid w:val="00B45641"/>
    <w:rsid w:val="00B45B03"/>
    <w:rsid w:val="00B5022D"/>
    <w:rsid w:val="00B53611"/>
    <w:rsid w:val="00B560A3"/>
    <w:rsid w:val="00B56C67"/>
    <w:rsid w:val="00B63BD9"/>
    <w:rsid w:val="00B71EDA"/>
    <w:rsid w:val="00B72A74"/>
    <w:rsid w:val="00B7641B"/>
    <w:rsid w:val="00B80570"/>
    <w:rsid w:val="00B80D8C"/>
    <w:rsid w:val="00B81869"/>
    <w:rsid w:val="00B81974"/>
    <w:rsid w:val="00B828B0"/>
    <w:rsid w:val="00B8388E"/>
    <w:rsid w:val="00B84982"/>
    <w:rsid w:val="00B8643F"/>
    <w:rsid w:val="00B92E48"/>
    <w:rsid w:val="00B944C8"/>
    <w:rsid w:val="00B9580E"/>
    <w:rsid w:val="00B95E72"/>
    <w:rsid w:val="00BA05C3"/>
    <w:rsid w:val="00BA28DA"/>
    <w:rsid w:val="00BA35A4"/>
    <w:rsid w:val="00BA596B"/>
    <w:rsid w:val="00BA63BF"/>
    <w:rsid w:val="00BB0FF6"/>
    <w:rsid w:val="00BB1985"/>
    <w:rsid w:val="00BB594B"/>
    <w:rsid w:val="00BB73BF"/>
    <w:rsid w:val="00BC05C2"/>
    <w:rsid w:val="00BC1ABC"/>
    <w:rsid w:val="00BC3551"/>
    <w:rsid w:val="00BC3B39"/>
    <w:rsid w:val="00BC5813"/>
    <w:rsid w:val="00BC626E"/>
    <w:rsid w:val="00BC7909"/>
    <w:rsid w:val="00BD0A40"/>
    <w:rsid w:val="00BD0CF6"/>
    <w:rsid w:val="00BD0FB8"/>
    <w:rsid w:val="00BD4C84"/>
    <w:rsid w:val="00BD51FD"/>
    <w:rsid w:val="00BD690E"/>
    <w:rsid w:val="00BD73FA"/>
    <w:rsid w:val="00BE0F6E"/>
    <w:rsid w:val="00BE189A"/>
    <w:rsid w:val="00BE3A61"/>
    <w:rsid w:val="00BE455B"/>
    <w:rsid w:val="00BE4C50"/>
    <w:rsid w:val="00BE5279"/>
    <w:rsid w:val="00BF03BE"/>
    <w:rsid w:val="00BF077B"/>
    <w:rsid w:val="00BF5EEE"/>
    <w:rsid w:val="00BF7107"/>
    <w:rsid w:val="00C02492"/>
    <w:rsid w:val="00C02533"/>
    <w:rsid w:val="00C07233"/>
    <w:rsid w:val="00C07385"/>
    <w:rsid w:val="00C11410"/>
    <w:rsid w:val="00C2150E"/>
    <w:rsid w:val="00C21D77"/>
    <w:rsid w:val="00C22534"/>
    <w:rsid w:val="00C277FD"/>
    <w:rsid w:val="00C2798C"/>
    <w:rsid w:val="00C3586F"/>
    <w:rsid w:val="00C36D4A"/>
    <w:rsid w:val="00C37529"/>
    <w:rsid w:val="00C37F36"/>
    <w:rsid w:val="00C42C91"/>
    <w:rsid w:val="00C4731D"/>
    <w:rsid w:val="00C47534"/>
    <w:rsid w:val="00C5326E"/>
    <w:rsid w:val="00C54531"/>
    <w:rsid w:val="00C56BEB"/>
    <w:rsid w:val="00C605A2"/>
    <w:rsid w:val="00C6476F"/>
    <w:rsid w:val="00C65530"/>
    <w:rsid w:val="00C6604D"/>
    <w:rsid w:val="00C6634F"/>
    <w:rsid w:val="00C71203"/>
    <w:rsid w:val="00C7241D"/>
    <w:rsid w:val="00C7448B"/>
    <w:rsid w:val="00C827CF"/>
    <w:rsid w:val="00C8324D"/>
    <w:rsid w:val="00C942FD"/>
    <w:rsid w:val="00C94747"/>
    <w:rsid w:val="00C95BCB"/>
    <w:rsid w:val="00C95F72"/>
    <w:rsid w:val="00CA1113"/>
    <w:rsid w:val="00CA16CC"/>
    <w:rsid w:val="00CA3174"/>
    <w:rsid w:val="00CB450F"/>
    <w:rsid w:val="00CB5B67"/>
    <w:rsid w:val="00CB5D6B"/>
    <w:rsid w:val="00CB7375"/>
    <w:rsid w:val="00CB7502"/>
    <w:rsid w:val="00CC0826"/>
    <w:rsid w:val="00CC0A58"/>
    <w:rsid w:val="00CC2134"/>
    <w:rsid w:val="00CC2366"/>
    <w:rsid w:val="00CC25DC"/>
    <w:rsid w:val="00CC313C"/>
    <w:rsid w:val="00CC3DFC"/>
    <w:rsid w:val="00CC3E17"/>
    <w:rsid w:val="00CD08CE"/>
    <w:rsid w:val="00CD1AD2"/>
    <w:rsid w:val="00CD66F7"/>
    <w:rsid w:val="00CD7C20"/>
    <w:rsid w:val="00CE0BB8"/>
    <w:rsid w:val="00CE56CD"/>
    <w:rsid w:val="00CE6052"/>
    <w:rsid w:val="00CE7BCE"/>
    <w:rsid w:val="00CF15D5"/>
    <w:rsid w:val="00CF1DF8"/>
    <w:rsid w:val="00CF3112"/>
    <w:rsid w:val="00CF3150"/>
    <w:rsid w:val="00CF3669"/>
    <w:rsid w:val="00CF5772"/>
    <w:rsid w:val="00CF5FDE"/>
    <w:rsid w:val="00D02224"/>
    <w:rsid w:val="00D072B7"/>
    <w:rsid w:val="00D106D0"/>
    <w:rsid w:val="00D10E54"/>
    <w:rsid w:val="00D11535"/>
    <w:rsid w:val="00D17106"/>
    <w:rsid w:val="00D20B56"/>
    <w:rsid w:val="00D21867"/>
    <w:rsid w:val="00D21B70"/>
    <w:rsid w:val="00D22887"/>
    <w:rsid w:val="00D24A43"/>
    <w:rsid w:val="00D259C0"/>
    <w:rsid w:val="00D30096"/>
    <w:rsid w:val="00D30617"/>
    <w:rsid w:val="00D31002"/>
    <w:rsid w:val="00D34991"/>
    <w:rsid w:val="00D378D3"/>
    <w:rsid w:val="00D40165"/>
    <w:rsid w:val="00D449EF"/>
    <w:rsid w:val="00D500A7"/>
    <w:rsid w:val="00D507B5"/>
    <w:rsid w:val="00D50BFA"/>
    <w:rsid w:val="00D514CE"/>
    <w:rsid w:val="00D52D13"/>
    <w:rsid w:val="00D611EF"/>
    <w:rsid w:val="00D6256D"/>
    <w:rsid w:val="00D62D6A"/>
    <w:rsid w:val="00D643ED"/>
    <w:rsid w:val="00D74C1E"/>
    <w:rsid w:val="00D75918"/>
    <w:rsid w:val="00D75E18"/>
    <w:rsid w:val="00D77F93"/>
    <w:rsid w:val="00D8420A"/>
    <w:rsid w:val="00D846CB"/>
    <w:rsid w:val="00D8490D"/>
    <w:rsid w:val="00D850FD"/>
    <w:rsid w:val="00D853CA"/>
    <w:rsid w:val="00D867A0"/>
    <w:rsid w:val="00D86FC7"/>
    <w:rsid w:val="00D879A2"/>
    <w:rsid w:val="00D87B3C"/>
    <w:rsid w:val="00D9081C"/>
    <w:rsid w:val="00D95012"/>
    <w:rsid w:val="00D97D79"/>
    <w:rsid w:val="00DA05FD"/>
    <w:rsid w:val="00DA3EC1"/>
    <w:rsid w:val="00DA4979"/>
    <w:rsid w:val="00DA6185"/>
    <w:rsid w:val="00DB03A5"/>
    <w:rsid w:val="00DB179C"/>
    <w:rsid w:val="00DB2FF8"/>
    <w:rsid w:val="00DB4EB9"/>
    <w:rsid w:val="00DB7C08"/>
    <w:rsid w:val="00DB7E5D"/>
    <w:rsid w:val="00DC146B"/>
    <w:rsid w:val="00DC413E"/>
    <w:rsid w:val="00DC4812"/>
    <w:rsid w:val="00DC49E7"/>
    <w:rsid w:val="00DC4CCA"/>
    <w:rsid w:val="00DD4220"/>
    <w:rsid w:val="00DD4B1F"/>
    <w:rsid w:val="00DE1047"/>
    <w:rsid w:val="00DE1B13"/>
    <w:rsid w:val="00DE4129"/>
    <w:rsid w:val="00DE671F"/>
    <w:rsid w:val="00DF0C14"/>
    <w:rsid w:val="00DF3278"/>
    <w:rsid w:val="00DF5923"/>
    <w:rsid w:val="00E057B3"/>
    <w:rsid w:val="00E10EF9"/>
    <w:rsid w:val="00E128B8"/>
    <w:rsid w:val="00E14190"/>
    <w:rsid w:val="00E1424E"/>
    <w:rsid w:val="00E1469B"/>
    <w:rsid w:val="00E208EC"/>
    <w:rsid w:val="00E22F20"/>
    <w:rsid w:val="00E23F62"/>
    <w:rsid w:val="00E243EA"/>
    <w:rsid w:val="00E27006"/>
    <w:rsid w:val="00E3055A"/>
    <w:rsid w:val="00E31623"/>
    <w:rsid w:val="00E32EE5"/>
    <w:rsid w:val="00E43083"/>
    <w:rsid w:val="00E4781A"/>
    <w:rsid w:val="00E501B8"/>
    <w:rsid w:val="00E502CB"/>
    <w:rsid w:val="00E5693A"/>
    <w:rsid w:val="00E63125"/>
    <w:rsid w:val="00E637CC"/>
    <w:rsid w:val="00E662A4"/>
    <w:rsid w:val="00E73729"/>
    <w:rsid w:val="00E740C4"/>
    <w:rsid w:val="00E742D9"/>
    <w:rsid w:val="00E76964"/>
    <w:rsid w:val="00E819A7"/>
    <w:rsid w:val="00E81F57"/>
    <w:rsid w:val="00E84598"/>
    <w:rsid w:val="00E852ED"/>
    <w:rsid w:val="00E904A0"/>
    <w:rsid w:val="00E91352"/>
    <w:rsid w:val="00E91F67"/>
    <w:rsid w:val="00E928F2"/>
    <w:rsid w:val="00E937AE"/>
    <w:rsid w:val="00E93E0C"/>
    <w:rsid w:val="00E94315"/>
    <w:rsid w:val="00E94A06"/>
    <w:rsid w:val="00E94F13"/>
    <w:rsid w:val="00E952C7"/>
    <w:rsid w:val="00EA1548"/>
    <w:rsid w:val="00EA37A5"/>
    <w:rsid w:val="00EA3BF2"/>
    <w:rsid w:val="00EB09DE"/>
    <w:rsid w:val="00EB0DDA"/>
    <w:rsid w:val="00EB1606"/>
    <w:rsid w:val="00EB302A"/>
    <w:rsid w:val="00EB636A"/>
    <w:rsid w:val="00EC0056"/>
    <w:rsid w:val="00EC07FE"/>
    <w:rsid w:val="00EC1439"/>
    <w:rsid w:val="00EC2ACF"/>
    <w:rsid w:val="00EC4C8C"/>
    <w:rsid w:val="00ED19AE"/>
    <w:rsid w:val="00ED29BA"/>
    <w:rsid w:val="00ED594F"/>
    <w:rsid w:val="00ED5D26"/>
    <w:rsid w:val="00ED6DDA"/>
    <w:rsid w:val="00EE0FE4"/>
    <w:rsid w:val="00EE18D1"/>
    <w:rsid w:val="00EE5649"/>
    <w:rsid w:val="00EE6653"/>
    <w:rsid w:val="00EE75ED"/>
    <w:rsid w:val="00EF347C"/>
    <w:rsid w:val="00EF3B57"/>
    <w:rsid w:val="00EF4AB7"/>
    <w:rsid w:val="00EF560A"/>
    <w:rsid w:val="00EF6EAE"/>
    <w:rsid w:val="00EF7002"/>
    <w:rsid w:val="00F00AD3"/>
    <w:rsid w:val="00F06B86"/>
    <w:rsid w:val="00F10F53"/>
    <w:rsid w:val="00F136FA"/>
    <w:rsid w:val="00F13F8F"/>
    <w:rsid w:val="00F16008"/>
    <w:rsid w:val="00F2149D"/>
    <w:rsid w:val="00F245D2"/>
    <w:rsid w:val="00F26AF7"/>
    <w:rsid w:val="00F26C1F"/>
    <w:rsid w:val="00F27647"/>
    <w:rsid w:val="00F30096"/>
    <w:rsid w:val="00F31DF8"/>
    <w:rsid w:val="00F3362D"/>
    <w:rsid w:val="00F33F37"/>
    <w:rsid w:val="00F35A53"/>
    <w:rsid w:val="00F4067B"/>
    <w:rsid w:val="00F4744E"/>
    <w:rsid w:val="00F5138D"/>
    <w:rsid w:val="00F5161A"/>
    <w:rsid w:val="00F522BB"/>
    <w:rsid w:val="00F53307"/>
    <w:rsid w:val="00F608E0"/>
    <w:rsid w:val="00F609F8"/>
    <w:rsid w:val="00F60E68"/>
    <w:rsid w:val="00F66DC7"/>
    <w:rsid w:val="00F673BE"/>
    <w:rsid w:val="00F706CC"/>
    <w:rsid w:val="00F708F8"/>
    <w:rsid w:val="00F72B67"/>
    <w:rsid w:val="00F72E72"/>
    <w:rsid w:val="00F73E8F"/>
    <w:rsid w:val="00F73EA8"/>
    <w:rsid w:val="00F758A2"/>
    <w:rsid w:val="00F77E2D"/>
    <w:rsid w:val="00F80C6A"/>
    <w:rsid w:val="00F80D25"/>
    <w:rsid w:val="00F82308"/>
    <w:rsid w:val="00F8393E"/>
    <w:rsid w:val="00F8507C"/>
    <w:rsid w:val="00F906B4"/>
    <w:rsid w:val="00F90730"/>
    <w:rsid w:val="00F93AFD"/>
    <w:rsid w:val="00F94DBA"/>
    <w:rsid w:val="00F976E4"/>
    <w:rsid w:val="00FA0846"/>
    <w:rsid w:val="00FA2853"/>
    <w:rsid w:val="00FA60D7"/>
    <w:rsid w:val="00FA7AAC"/>
    <w:rsid w:val="00FA7C72"/>
    <w:rsid w:val="00FA7E5D"/>
    <w:rsid w:val="00FB28B4"/>
    <w:rsid w:val="00FB2B20"/>
    <w:rsid w:val="00FB47D9"/>
    <w:rsid w:val="00FB7404"/>
    <w:rsid w:val="00FC1B0C"/>
    <w:rsid w:val="00FC2530"/>
    <w:rsid w:val="00FC28DF"/>
    <w:rsid w:val="00FC42A7"/>
    <w:rsid w:val="00FC6EC8"/>
    <w:rsid w:val="00FD0C0E"/>
    <w:rsid w:val="00FD510F"/>
    <w:rsid w:val="00FD57A9"/>
    <w:rsid w:val="00FE2094"/>
    <w:rsid w:val="00FE3A57"/>
    <w:rsid w:val="00FE433B"/>
    <w:rsid w:val="00FE43DB"/>
    <w:rsid w:val="00FE590A"/>
    <w:rsid w:val="00FE6CD9"/>
    <w:rsid w:val="00FF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632"/>
    <w:rPr>
      <w:rFonts w:eastAsia="Times New Roman"/>
      <w:sz w:val="28"/>
      <w:szCs w:val="22"/>
      <w:lang w:val="uk-UA" w:eastAsia="en-US"/>
    </w:rPr>
  </w:style>
  <w:style w:type="paragraph" w:styleId="2">
    <w:name w:val="heading 2"/>
    <w:basedOn w:val="a"/>
    <w:link w:val="20"/>
    <w:qFormat/>
    <w:rsid w:val="005A29B4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qFormat/>
    <w:rsid w:val="005A29B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5A29B4"/>
    <w:rPr>
      <w:rFonts w:eastAsia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locked/>
    <w:rsid w:val="005A29B4"/>
    <w:rPr>
      <w:rFonts w:eastAsia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rsid w:val="005A29B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4">
    <w:name w:val="Balloon Text"/>
    <w:basedOn w:val="a"/>
    <w:link w:val="a5"/>
    <w:semiHidden/>
    <w:rsid w:val="005A29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5A29B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5587A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Бланк"/>
    <w:basedOn w:val="a"/>
    <w:rsid w:val="00B84982"/>
    <w:pPr>
      <w:tabs>
        <w:tab w:val="left" w:pos="5387"/>
        <w:tab w:val="right" w:pos="9356"/>
      </w:tabs>
      <w:spacing w:after="120"/>
      <w:ind w:firstLine="709"/>
      <w:jc w:val="both"/>
    </w:pPr>
    <w:rPr>
      <w:rFonts w:eastAsia="Calibri"/>
      <w:sz w:val="26"/>
      <w:szCs w:val="24"/>
      <w:lang w:val="ru-RU" w:eastAsia="ru-RU"/>
    </w:rPr>
  </w:style>
  <w:style w:type="paragraph" w:customStyle="1" w:styleId="1">
    <w:name w:val="Абзац списка1"/>
    <w:basedOn w:val="a"/>
    <w:rsid w:val="00847989"/>
    <w:pPr>
      <w:ind w:left="720"/>
      <w:contextualSpacing/>
    </w:pPr>
  </w:style>
  <w:style w:type="paragraph" w:customStyle="1" w:styleId="a8">
    <w:name w:val="Нормальний текст"/>
    <w:basedOn w:val="a"/>
    <w:rsid w:val="00C6634F"/>
    <w:pPr>
      <w:spacing w:before="120"/>
      <w:ind w:firstLine="567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rsid w:val="008419E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uk-UA" w:eastAsia="en-US"/>
    </w:rPr>
  </w:style>
  <w:style w:type="paragraph" w:styleId="a9">
    <w:name w:val="header"/>
    <w:basedOn w:val="a"/>
    <w:link w:val="aa"/>
    <w:uiPriority w:val="99"/>
    <w:rsid w:val="00B125F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125F1"/>
    <w:rPr>
      <w:rFonts w:cs="Times New Roman"/>
    </w:rPr>
  </w:style>
  <w:style w:type="paragraph" w:styleId="ab">
    <w:name w:val="footer"/>
    <w:basedOn w:val="a"/>
    <w:link w:val="ac"/>
    <w:rsid w:val="00B125F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locked/>
    <w:rsid w:val="00B125F1"/>
    <w:rPr>
      <w:rFonts w:cs="Times New Roman"/>
    </w:rPr>
  </w:style>
  <w:style w:type="paragraph" w:styleId="ad">
    <w:name w:val="Body Text"/>
    <w:basedOn w:val="a"/>
    <w:link w:val="ae"/>
    <w:rsid w:val="001E70A1"/>
    <w:pPr>
      <w:spacing w:after="120"/>
    </w:pPr>
    <w:rPr>
      <w:rFonts w:eastAsia="Calibri"/>
      <w:szCs w:val="20"/>
      <w:lang w:eastAsia="ru-RU"/>
    </w:rPr>
  </w:style>
  <w:style w:type="character" w:customStyle="1" w:styleId="ae">
    <w:name w:val="Основной текст Знак"/>
    <w:basedOn w:val="a0"/>
    <w:link w:val="ad"/>
    <w:locked/>
    <w:rsid w:val="001E70A1"/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Без интервала1"/>
    <w:rsid w:val="00FE590A"/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Blank">
    <w:name w:val="Blank"/>
    <w:basedOn w:val="a"/>
    <w:rsid w:val="00277BDB"/>
    <w:pPr>
      <w:tabs>
        <w:tab w:val="left" w:pos="5387"/>
        <w:tab w:val="right" w:pos="8930"/>
      </w:tabs>
      <w:spacing w:after="120"/>
      <w:ind w:firstLine="720"/>
    </w:pPr>
    <w:rPr>
      <w:rFonts w:eastAsia="Calibri"/>
      <w:sz w:val="26"/>
      <w:szCs w:val="20"/>
      <w:lang w:val="ru-RU" w:eastAsia="ru-RU"/>
    </w:rPr>
  </w:style>
  <w:style w:type="paragraph" w:customStyle="1" w:styleId="31">
    <w:name w:val="......... 3"/>
    <w:basedOn w:val="Default"/>
    <w:next w:val="Default"/>
    <w:rsid w:val="002A0F17"/>
    <w:rPr>
      <w:color w:val="auto"/>
      <w:lang w:val="ru-RU"/>
    </w:rPr>
  </w:style>
  <w:style w:type="paragraph" w:styleId="af">
    <w:name w:val="footnote text"/>
    <w:basedOn w:val="a"/>
    <w:link w:val="af0"/>
    <w:semiHidden/>
    <w:rsid w:val="00492A89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locked/>
    <w:rsid w:val="00492A89"/>
    <w:rPr>
      <w:rFonts w:cs="Times New Roman"/>
      <w:sz w:val="20"/>
      <w:szCs w:val="20"/>
    </w:rPr>
  </w:style>
  <w:style w:type="character" w:styleId="af1">
    <w:name w:val="footnote reference"/>
    <w:basedOn w:val="a0"/>
    <w:semiHidden/>
    <w:rsid w:val="00492A89"/>
    <w:rPr>
      <w:rFonts w:cs="Times New Roman"/>
      <w:vertAlign w:val="superscript"/>
    </w:rPr>
  </w:style>
  <w:style w:type="paragraph" w:styleId="HTML">
    <w:name w:val="HTML Preformatted"/>
    <w:basedOn w:val="a"/>
    <w:link w:val="HTML0"/>
    <w:rsid w:val="001B7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18"/>
      <w:szCs w:val="18"/>
      <w:lang w:eastAsia="uk-UA"/>
    </w:rPr>
  </w:style>
  <w:style w:type="character" w:customStyle="1" w:styleId="HTML0">
    <w:name w:val="Стандартный HTML Знак"/>
    <w:basedOn w:val="a0"/>
    <w:link w:val="HTML"/>
    <w:locked/>
    <w:rsid w:val="001B7CB5"/>
    <w:rPr>
      <w:rFonts w:ascii="Courier New" w:hAnsi="Courier New" w:cs="Courier New"/>
      <w:color w:val="000000"/>
      <w:sz w:val="18"/>
      <w:szCs w:val="18"/>
      <w:lang w:eastAsia="uk-UA"/>
    </w:rPr>
  </w:style>
  <w:style w:type="character" w:styleId="af2">
    <w:name w:val="Strong"/>
    <w:basedOn w:val="a0"/>
    <w:qFormat/>
    <w:rsid w:val="00853D51"/>
    <w:rPr>
      <w:rFonts w:cs="Times New Roman"/>
      <w:b/>
      <w:bCs/>
    </w:rPr>
  </w:style>
  <w:style w:type="paragraph" w:customStyle="1" w:styleId="af3">
    <w:name w:val="Знак"/>
    <w:basedOn w:val="a"/>
    <w:rsid w:val="006A401E"/>
    <w:rPr>
      <w:rFonts w:ascii="Verdana" w:hAnsi="Verdana" w:cs="Verdana"/>
      <w:sz w:val="20"/>
      <w:szCs w:val="20"/>
      <w:lang w:val="en-US"/>
    </w:rPr>
  </w:style>
  <w:style w:type="paragraph" w:customStyle="1" w:styleId="a30">
    <w:name w:val="a3"/>
    <w:basedOn w:val="a"/>
    <w:rsid w:val="0098126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40">
    <w:name w:val="a4"/>
    <w:basedOn w:val="a"/>
    <w:rsid w:val="0098126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81269"/>
  </w:style>
  <w:style w:type="paragraph" w:customStyle="1" w:styleId="a50">
    <w:name w:val="a5"/>
    <w:basedOn w:val="a"/>
    <w:rsid w:val="0098126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37">
    <w:name w:val="rvts37"/>
    <w:basedOn w:val="a0"/>
    <w:rsid w:val="0009008E"/>
  </w:style>
  <w:style w:type="character" w:styleId="af4">
    <w:name w:val="Hyperlink"/>
    <w:basedOn w:val="a0"/>
    <w:uiPriority w:val="99"/>
    <w:unhideWhenUsed/>
    <w:rsid w:val="00E27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B71A-3B73-43D7-8731-2B2144BB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9587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</vt:lpstr>
    </vt:vector>
  </TitlesOfParts>
  <Company>Minfin</Company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</dc:title>
  <dc:creator>Користувач Windows</dc:creator>
  <cp:lastModifiedBy>Userr</cp:lastModifiedBy>
  <cp:revision>2</cp:revision>
  <cp:lastPrinted>2019-12-17T13:34:00Z</cp:lastPrinted>
  <dcterms:created xsi:type="dcterms:W3CDTF">2019-12-17T14:56:00Z</dcterms:created>
  <dcterms:modified xsi:type="dcterms:W3CDTF">2019-12-17T14:56:00Z</dcterms:modified>
</cp:coreProperties>
</file>