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682C8" w14:textId="77777777" w:rsidR="007407A5" w:rsidRPr="007407A5" w:rsidRDefault="007407A5" w:rsidP="007407A5">
      <w:pPr>
        <w:ind w:left="5103"/>
        <w:jc w:val="right"/>
        <w:rPr>
          <w:rFonts w:eastAsia="Times New Roman" w:cs="Times New Roman"/>
          <w:sz w:val="28"/>
          <w:szCs w:val="28"/>
        </w:rPr>
      </w:pPr>
    </w:p>
    <w:p w14:paraId="0BA41C4F" w14:textId="77777777" w:rsidR="007407A5" w:rsidRPr="007407A5" w:rsidRDefault="007407A5" w:rsidP="007407A5">
      <w:pPr>
        <w:ind w:left="5103"/>
        <w:jc w:val="right"/>
        <w:rPr>
          <w:rFonts w:eastAsia="Times New Roman" w:cs="Times New Roman"/>
          <w:sz w:val="28"/>
          <w:szCs w:val="28"/>
        </w:rPr>
      </w:pPr>
    </w:p>
    <w:p w14:paraId="31DEBA86" w14:textId="77777777" w:rsidR="007407A5" w:rsidRPr="007407A5" w:rsidRDefault="007407A5" w:rsidP="007407A5">
      <w:pPr>
        <w:ind w:left="5103"/>
        <w:jc w:val="right"/>
        <w:rPr>
          <w:rFonts w:eastAsia="Times New Roman" w:cs="Times New Roman"/>
          <w:sz w:val="28"/>
          <w:szCs w:val="28"/>
        </w:rPr>
      </w:pPr>
      <w:r w:rsidRPr="007407A5">
        <w:rPr>
          <w:rFonts w:eastAsia="Times New Roman" w:cs="Times New Roman"/>
          <w:sz w:val="28"/>
          <w:szCs w:val="28"/>
        </w:rPr>
        <w:t>Додаток 2</w:t>
      </w:r>
    </w:p>
    <w:p w14:paraId="48A66685" w14:textId="77777777" w:rsidR="007407A5" w:rsidRPr="007407A5" w:rsidRDefault="007407A5" w:rsidP="007407A5">
      <w:pPr>
        <w:ind w:left="5103"/>
        <w:jc w:val="right"/>
        <w:rPr>
          <w:rFonts w:eastAsia="Times New Roman" w:cs="Times New Roman"/>
          <w:sz w:val="28"/>
          <w:szCs w:val="28"/>
        </w:rPr>
      </w:pPr>
      <w:r w:rsidRPr="007407A5">
        <w:rPr>
          <w:rFonts w:eastAsia="Times New Roman" w:cs="Times New Roman"/>
          <w:sz w:val="28"/>
          <w:szCs w:val="28"/>
        </w:rPr>
        <w:t>до рішення виконавчого комітету</w:t>
      </w:r>
    </w:p>
    <w:p w14:paraId="42159365" w14:textId="77777777" w:rsidR="00D95478" w:rsidRPr="004349A4" w:rsidRDefault="00D95478" w:rsidP="00D95478">
      <w:pPr>
        <w:jc w:val="right"/>
        <w:rPr>
          <w:rFonts w:eastAsia="Times New Roman" w:cs="Times New Roman"/>
          <w:sz w:val="28"/>
          <w:szCs w:val="28"/>
          <w:lang w:val="uk-UA"/>
        </w:rPr>
      </w:pPr>
      <w:r w:rsidRPr="004349A4">
        <w:rPr>
          <w:rFonts w:eastAsia="Times New Roman" w:cs="Times New Roman"/>
          <w:sz w:val="28"/>
          <w:szCs w:val="28"/>
          <w:lang w:val="uk-UA"/>
        </w:rPr>
        <w:t>12 січня</w:t>
      </w:r>
      <w:r>
        <w:rPr>
          <w:rFonts w:eastAsia="Times New Roman" w:cs="Times New Roman"/>
          <w:sz w:val="28"/>
          <w:szCs w:val="28"/>
          <w:lang w:val="uk-UA"/>
        </w:rPr>
        <w:t xml:space="preserve"> </w:t>
      </w:r>
      <w:r w:rsidRPr="004349A4">
        <w:rPr>
          <w:rFonts w:eastAsia="Times New Roman" w:cs="Times New Roman"/>
          <w:sz w:val="28"/>
          <w:szCs w:val="28"/>
          <w:lang w:val="uk-UA"/>
        </w:rPr>
        <w:t xml:space="preserve">2022 року  </w:t>
      </w:r>
      <w:r w:rsidRPr="001021AD">
        <w:rPr>
          <w:rFonts w:ascii="Times New Roman CYR" w:eastAsia="Batang" w:hAnsi="Times New Roman CYR" w:cs="Times New Roman"/>
          <w:sz w:val="28"/>
          <w:lang w:val="uk-UA"/>
        </w:rPr>
        <w:t>№11-ПРВ-7100-2022</w:t>
      </w:r>
    </w:p>
    <w:p w14:paraId="503B1E3D" w14:textId="77777777" w:rsidR="007407A5" w:rsidRPr="00D95478" w:rsidRDefault="007407A5" w:rsidP="007407A5">
      <w:pPr>
        <w:ind w:left="5103"/>
        <w:jc w:val="right"/>
        <w:rPr>
          <w:rFonts w:eastAsia="Times New Roman" w:cs="Times New Roman"/>
          <w:sz w:val="28"/>
          <w:szCs w:val="28"/>
          <w:lang w:val="uk-UA"/>
        </w:rPr>
      </w:pPr>
    </w:p>
    <w:p w14:paraId="0703EFD7" w14:textId="77777777" w:rsidR="007407A5" w:rsidRPr="007407A5" w:rsidRDefault="007407A5" w:rsidP="007407A5">
      <w:pPr>
        <w:ind w:left="5103"/>
        <w:jc w:val="center"/>
        <w:rPr>
          <w:rFonts w:eastAsia="Times New Roman" w:cs="Times New Roman"/>
          <w:sz w:val="28"/>
          <w:szCs w:val="28"/>
        </w:rPr>
      </w:pPr>
    </w:p>
    <w:p w14:paraId="3D14D13D" w14:textId="77777777" w:rsidR="007407A5" w:rsidRPr="007407A5" w:rsidRDefault="007407A5" w:rsidP="007407A5">
      <w:pPr>
        <w:jc w:val="center"/>
        <w:rPr>
          <w:rFonts w:eastAsia="Times New Roman" w:cs="Times New Roman"/>
          <w:sz w:val="28"/>
          <w:szCs w:val="28"/>
        </w:rPr>
      </w:pPr>
      <w:bookmarkStart w:id="0" w:name="_GoBack"/>
      <w:bookmarkEnd w:id="0"/>
    </w:p>
    <w:p w14:paraId="62ABEB99" w14:textId="77777777" w:rsidR="007407A5" w:rsidRPr="007407A5" w:rsidRDefault="007407A5" w:rsidP="007407A5">
      <w:pPr>
        <w:jc w:val="center"/>
        <w:rPr>
          <w:rFonts w:eastAsia="Times New Roman" w:cs="Times New Roman"/>
          <w:sz w:val="28"/>
          <w:szCs w:val="28"/>
        </w:rPr>
      </w:pPr>
      <w:r w:rsidRPr="007407A5">
        <w:rPr>
          <w:rFonts w:eastAsia="Times New Roman" w:cs="Times New Roman"/>
          <w:sz w:val="28"/>
          <w:szCs w:val="28"/>
        </w:rPr>
        <w:t>ПОЛОЖЕННЯ</w:t>
      </w:r>
    </w:p>
    <w:p w14:paraId="787A2FA2" w14:textId="77777777" w:rsidR="007407A5" w:rsidRPr="007407A5" w:rsidRDefault="007407A5" w:rsidP="007407A5">
      <w:pPr>
        <w:jc w:val="center"/>
        <w:rPr>
          <w:rFonts w:eastAsia="Times New Roman" w:cs="Times New Roman"/>
          <w:sz w:val="28"/>
          <w:szCs w:val="28"/>
        </w:rPr>
      </w:pPr>
    </w:p>
    <w:p w14:paraId="02825F01" w14:textId="77777777" w:rsidR="007407A5" w:rsidRPr="007407A5" w:rsidRDefault="007407A5" w:rsidP="007407A5">
      <w:pPr>
        <w:jc w:val="center"/>
        <w:rPr>
          <w:rFonts w:eastAsia="Times New Roman" w:cs="Times New Roman"/>
          <w:sz w:val="28"/>
          <w:szCs w:val="28"/>
        </w:rPr>
      </w:pPr>
      <w:r w:rsidRPr="007407A5">
        <w:rPr>
          <w:rFonts w:eastAsia="Times New Roman" w:cs="Times New Roman"/>
          <w:sz w:val="28"/>
          <w:szCs w:val="28"/>
        </w:rPr>
        <w:t>про міську тимчасову комісію з питань погашення заборгованості із заробітної плати (грошового забезпечення), пенсій, інших соціальних виплат, дотримання норм законодавства в частині мінімальної заробітної плати, легалізації виплати заробітної плати та зайнятості населення</w:t>
      </w:r>
    </w:p>
    <w:p w14:paraId="5E83544C" w14:textId="77777777" w:rsidR="007407A5" w:rsidRPr="007407A5" w:rsidRDefault="007407A5" w:rsidP="007407A5">
      <w:pPr>
        <w:jc w:val="center"/>
        <w:rPr>
          <w:rFonts w:eastAsia="Times New Roman" w:cs="Times New Roman"/>
          <w:sz w:val="28"/>
          <w:szCs w:val="28"/>
        </w:rPr>
      </w:pPr>
    </w:p>
    <w:p w14:paraId="6F45C485"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1. Міська тимчасова комісія з питань погашення заборгованості із заробітної плати (грошового забезпечення), пенсій, інших соціальних виплат, дотримання норм законодавства в частині мінімальної заробітної плати, легалізації виплати заробітної плати та зайнятості населення (далі – міська тимчасова комісія) є тимчасовим дорадчим органом, утвореним для здійснення своїх повноважень з питань, пов’язаних із своєчасною виплатою заробітної плати (грошового забезпечення), пенсій, інших соціальних виплат, дотримання норм законодавства в частині мінімальної заробітної плати, виведення заробітної плати та зайнятості населення з тіньового сектора економіки.</w:t>
      </w:r>
    </w:p>
    <w:p w14:paraId="62911C26" w14:textId="77777777" w:rsidR="007407A5" w:rsidRPr="007407A5" w:rsidRDefault="007407A5" w:rsidP="007407A5">
      <w:pPr>
        <w:ind w:firstLine="709"/>
        <w:jc w:val="both"/>
        <w:rPr>
          <w:rFonts w:eastAsia="Times New Roman" w:cs="Times New Roman"/>
          <w:sz w:val="28"/>
          <w:szCs w:val="28"/>
        </w:rPr>
      </w:pPr>
    </w:p>
    <w:p w14:paraId="73F1C521"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2. Міська тимчасова комісія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розпорядженнями голови Рівненської обласної державної адміністрації, а також цим Положенням.</w:t>
      </w:r>
    </w:p>
    <w:p w14:paraId="1D246F56" w14:textId="77777777" w:rsidR="007407A5" w:rsidRPr="007407A5" w:rsidRDefault="007407A5" w:rsidP="007407A5">
      <w:pPr>
        <w:ind w:firstLine="709"/>
        <w:jc w:val="both"/>
        <w:rPr>
          <w:rFonts w:eastAsia="Times New Roman" w:cs="Times New Roman"/>
          <w:sz w:val="28"/>
          <w:szCs w:val="28"/>
        </w:rPr>
      </w:pPr>
    </w:p>
    <w:p w14:paraId="19D002E6"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3. Основними завданнями міської тимчасової комісії є:</w:t>
      </w:r>
    </w:p>
    <w:p w14:paraId="5C0BDE10" w14:textId="77777777" w:rsidR="007407A5" w:rsidRPr="007407A5" w:rsidRDefault="007407A5" w:rsidP="007407A5">
      <w:pPr>
        <w:ind w:firstLine="709"/>
        <w:jc w:val="both"/>
        <w:rPr>
          <w:rFonts w:eastAsia="Times New Roman" w:cs="Times New Roman"/>
          <w:sz w:val="28"/>
          <w:szCs w:val="28"/>
        </w:rPr>
      </w:pPr>
    </w:p>
    <w:p w14:paraId="4E52E19B"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сприяння забезпеченню координації дій органів виконавчої влади з питань, пов'язаних із своєчасною виплатою та погашенням заборгованості із заробітної плати (грошового забезпечення), пенсій та інших соціальних виплат, дотримання норм законодавства в частині мінімальної заробітної плати, легалізації виплати заробітної плати та зайнятості населення;</w:t>
      </w:r>
    </w:p>
    <w:p w14:paraId="5CA5D052" w14:textId="77777777" w:rsidR="007407A5" w:rsidRPr="007407A5" w:rsidRDefault="007407A5" w:rsidP="007407A5">
      <w:pPr>
        <w:ind w:firstLine="709"/>
        <w:jc w:val="both"/>
        <w:rPr>
          <w:rFonts w:eastAsia="Times New Roman" w:cs="Times New Roman"/>
          <w:sz w:val="28"/>
          <w:szCs w:val="28"/>
        </w:rPr>
      </w:pPr>
    </w:p>
    <w:p w14:paraId="6035D1E6"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підготовка пропозицій щодо визначення шляхів та способів вирішення проблемних питань погашення заборгованості із заробітної плати (грошового забезпечення), пенсій та інших соціальних виплат, дотримання норм законодавства в частині мінімальної заробітної плати, легалізації виплати заробітної плати та зайнятості населення;</w:t>
      </w:r>
    </w:p>
    <w:p w14:paraId="0BC244EA" w14:textId="77777777" w:rsidR="007407A5" w:rsidRPr="007407A5" w:rsidRDefault="007407A5" w:rsidP="007407A5">
      <w:pPr>
        <w:ind w:firstLine="709"/>
        <w:jc w:val="both"/>
        <w:rPr>
          <w:rFonts w:eastAsia="Times New Roman" w:cs="Times New Roman"/>
          <w:sz w:val="28"/>
          <w:szCs w:val="28"/>
        </w:rPr>
      </w:pPr>
    </w:p>
    <w:p w14:paraId="36DA8F1D" w14:textId="77777777" w:rsidR="007407A5" w:rsidRPr="007407A5" w:rsidRDefault="007407A5" w:rsidP="007407A5">
      <w:pPr>
        <w:ind w:firstLine="709"/>
        <w:jc w:val="center"/>
        <w:rPr>
          <w:rFonts w:eastAsia="Times New Roman" w:cs="Times New Roman"/>
          <w:sz w:val="28"/>
          <w:szCs w:val="28"/>
        </w:rPr>
      </w:pPr>
    </w:p>
    <w:p w14:paraId="79B117A9" w14:textId="77777777" w:rsidR="007407A5" w:rsidRPr="007407A5" w:rsidRDefault="007407A5" w:rsidP="007407A5">
      <w:pPr>
        <w:ind w:firstLine="709"/>
        <w:jc w:val="center"/>
        <w:rPr>
          <w:rFonts w:eastAsia="Times New Roman" w:cs="Times New Roman"/>
          <w:sz w:val="28"/>
          <w:szCs w:val="28"/>
        </w:rPr>
      </w:pPr>
    </w:p>
    <w:p w14:paraId="19E59D37" w14:textId="77777777" w:rsidR="007407A5" w:rsidRPr="007407A5" w:rsidRDefault="007407A5" w:rsidP="007407A5">
      <w:pPr>
        <w:ind w:firstLine="709"/>
        <w:jc w:val="center"/>
        <w:rPr>
          <w:rFonts w:eastAsia="Times New Roman" w:cs="Times New Roman"/>
          <w:sz w:val="28"/>
          <w:szCs w:val="28"/>
        </w:rPr>
      </w:pP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t xml:space="preserve">        2</w:t>
      </w: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t>Продовження додатку 2</w:t>
      </w:r>
    </w:p>
    <w:p w14:paraId="18CD1356" w14:textId="77777777" w:rsidR="007407A5" w:rsidRPr="007407A5" w:rsidRDefault="007407A5" w:rsidP="007407A5">
      <w:pPr>
        <w:ind w:firstLine="709"/>
        <w:jc w:val="right"/>
        <w:rPr>
          <w:rFonts w:eastAsia="Times New Roman" w:cs="Times New Roman"/>
          <w:sz w:val="28"/>
          <w:szCs w:val="28"/>
        </w:rPr>
      </w:pPr>
    </w:p>
    <w:p w14:paraId="0E6B813E"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забезпечення взаємодії правоохоронних та контролюючих органів з метою вжиття заходів впливу до керівників з числа фізичних осіб, які використовують найману працю з порушенням вимог чинного законодавства;</w:t>
      </w:r>
    </w:p>
    <w:p w14:paraId="4D49E770" w14:textId="77777777" w:rsidR="007407A5" w:rsidRPr="007407A5" w:rsidRDefault="007407A5" w:rsidP="007407A5">
      <w:pPr>
        <w:ind w:firstLine="709"/>
        <w:jc w:val="both"/>
        <w:rPr>
          <w:rFonts w:eastAsia="Times New Roman" w:cs="Times New Roman"/>
          <w:sz w:val="28"/>
          <w:szCs w:val="28"/>
        </w:rPr>
      </w:pPr>
    </w:p>
    <w:p w14:paraId="27408B35"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проведення роз’яснювальної роботи серед роботодавців щодо дотримання ними вимог чинного законодавства в частині використання найманої робочої сили та запобігання фактам неофіційних трудових відносин.</w:t>
      </w:r>
    </w:p>
    <w:p w14:paraId="722929B9" w14:textId="77777777" w:rsidR="007407A5" w:rsidRPr="007407A5" w:rsidRDefault="007407A5" w:rsidP="007407A5">
      <w:pPr>
        <w:ind w:firstLine="709"/>
        <w:jc w:val="both"/>
        <w:rPr>
          <w:rFonts w:eastAsia="Times New Roman" w:cs="Times New Roman"/>
          <w:sz w:val="28"/>
          <w:szCs w:val="28"/>
        </w:rPr>
      </w:pPr>
    </w:p>
    <w:p w14:paraId="30328443"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4. Міська тимчасова комісія відповідно до покладених на неї завдань:</w:t>
      </w:r>
    </w:p>
    <w:p w14:paraId="1D08C11A" w14:textId="77777777" w:rsidR="007407A5" w:rsidRPr="007407A5" w:rsidRDefault="007407A5" w:rsidP="007407A5">
      <w:pPr>
        <w:ind w:firstLine="709"/>
        <w:jc w:val="both"/>
        <w:rPr>
          <w:rFonts w:eastAsia="Times New Roman" w:cs="Times New Roman"/>
          <w:sz w:val="28"/>
          <w:szCs w:val="28"/>
        </w:rPr>
      </w:pPr>
    </w:p>
    <w:p w14:paraId="73E4D636"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проводить аналіз стану справ та причин виникнення проблем з погашенням заборгованості із заробітної плати (грошового забезпечення), пенсій, інших соціальних виплат, дотримання норм законодавства в частині мінімальної заробітної плати, легалізації виплати заробітної плати та зайнятості населення;</w:t>
      </w:r>
    </w:p>
    <w:p w14:paraId="2CFAD8AB" w14:textId="77777777" w:rsidR="007407A5" w:rsidRPr="007407A5" w:rsidRDefault="007407A5" w:rsidP="007407A5">
      <w:pPr>
        <w:ind w:firstLine="709"/>
        <w:jc w:val="both"/>
        <w:rPr>
          <w:rFonts w:eastAsia="Times New Roman" w:cs="Times New Roman"/>
          <w:sz w:val="28"/>
          <w:szCs w:val="28"/>
        </w:rPr>
      </w:pPr>
    </w:p>
    <w:p w14:paraId="2E56E61F"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подає структурним підрозділам органів місцевого самоврядування, підприємствам, установам та організаціям розроблені за результатами своєї діяльності рекомендації та пропозиції, спрямовані на погашення заборгованості із заробітної плати (грошового забезпечення), пенсій, інших соціальних виплат, дотримання норм законодавства в частині мінімальної заробітної плати, легалізаці</w:t>
      </w:r>
      <w:r w:rsidRPr="007407A5">
        <w:rPr>
          <w:rFonts w:eastAsia="Times New Roman" w:cs="Times New Roman"/>
          <w:sz w:val="28"/>
          <w:szCs w:val="28"/>
          <w:lang w:val="uk-UA"/>
        </w:rPr>
        <w:t>ї</w:t>
      </w:r>
      <w:r w:rsidRPr="007407A5">
        <w:rPr>
          <w:rFonts w:eastAsia="Times New Roman" w:cs="Times New Roman"/>
          <w:sz w:val="28"/>
          <w:szCs w:val="28"/>
        </w:rPr>
        <w:t xml:space="preserve"> виплати заробітної плати та зайнятості населення;</w:t>
      </w:r>
    </w:p>
    <w:p w14:paraId="56C71079" w14:textId="77777777" w:rsidR="007407A5" w:rsidRPr="007407A5" w:rsidRDefault="007407A5" w:rsidP="007407A5">
      <w:pPr>
        <w:ind w:firstLine="709"/>
        <w:jc w:val="both"/>
        <w:rPr>
          <w:rFonts w:eastAsia="Times New Roman" w:cs="Times New Roman"/>
          <w:sz w:val="28"/>
          <w:szCs w:val="28"/>
        </w:rPr>
      </w:pPr>
    </w:p>
    <w:p w14:paraId="2DCFCA4D"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забезпечує періодичне висвітлення стану справ з питань, віднесених до компетенції міської тимчасової комісії у засобах масової інформації.</w:t>
      </w:r>
    </w:p>
    <w:p w14:paraId="1790A55F"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xml:space="preserve"> </w:t>
      </w:r>
    </w:p>
    <w:p w14:paraId="2324E63C"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5. Міська тимчасова комісія має право:</w:t>
      </w:r>
    </w:p>
    <w:p w14:paraId="59A15287" w14:textId="77777777" w:rsidR="007407A5" w:rsidRPr="007407A5" w:rsidRDefault="007407A5" w:rsidP="007407A5">
      <w:pPr>
        <w:ind w:firstLine="709"/>
        <w:jc w:val="both"/>
        <w:rPr>
          <w:rFonts w:eastAsia="Times New Roman" w:cs="Times New Roman"/>
          <w:sz w:val="28"/>
          <w:szCs w:val="28"/>
        </w:rPr>
      </w:pPr>
    </w:p>
    <w:p w14:paraId="1CE7F0DE"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отримувати в установленому порядку від структурних підрозділів органів місцевого самоврядування, підприємств, установ та організацій інформацію, необхідну для виконання покладених на неї завдань;</w:t>
      </w:r>
    </w:p>
    <w:p w14:paraId="091036BD" w14:textId="77777777" w:rsidR="007407A5" w:rsidRPr="007407A5" w:rsidRDefault="007407A5" w:rsidP="007407A5">
      <w:pPr>
        <w:ind w:firstLine="709"/>
        <w:jc w:val="both"/>
        <w:rPr>
          <w:rFonts w:eastAsia="Times New Roman" w:cs="Times New Roman"/>
          <w:sz w:val="28"/>
          <w:szCs w:val="28"/>
        </w:rPr>
      </w:pPr>
    </w:p>
    <w:p w14:paraId="4E10AC14"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запрошувати на свої засідання керівників та працівників підприємств, установ та організацій для розгляду питань, віднесених до компетенції обласної тимчасової комісії;</w:t>
      </w:r>
    </w:p>
    <w:p w14:paraId="70A656AD" w14:textId="77777777" w:rsidR="007407A5" w:rsidRPr="007407A5" w:rsidRDefault="007407A5" w:rsidP="007407A5">
      <w:pPr>
        <w:ind w:firstLine="709"/>
        <w:jc w:val="both"/>
        <w:rPr>
          <w:rFonts w:eastAsia="Times New Roman" w:cs="Times New Roman"/>
          <w:sz w:val="28"/>
          <w:szCs w:val="28"/>
        </w:rPr>
      </w:pPr>
    </w:p>
    <w:p w14:paraId="38581BC4" w14:textId="77777777" w:rsid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xml:space="preserve">- аналізувати інформацію, якою володіють органи Пенсійного фонду, Державної фіскальної служби та Держпраці, з метою встановлення обставин, які можуть свідчити про використання найманої праці  без належного </w:t>
      </w:r>
    </w:p>
    <w:p w14:paraId="272DFDDB" w14:textId="77777777" w:rsid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xml:space="preserve"> </w:t>
      </w:r>
    </w:p>
    <w:p w14:paraId="2A707142" w14:textId="77777777" w:rsidR="007407A5" w:rsidRDefault="007407A5" w:rsidP="007407A5">
      <w:pPr>
        <w:ind w:firstLine="709"/>
        <w:jc w:val="both"/>
        <w:rPr>
          <w:rFonts w:eastAsia="Times New Roman" w:cs="Times New Roman"/>
          <w:sz w:val="28"/>
          <w:szCs w:val="28"/>
        </w:rPr>
      </w:pPr>
    </w:p>
    <w:p w14:paraId="36B5BB62" w14:textId="77777777" w:rsidR="007407A5" w:rsidRPr="007407A5" w:rsidRDefault="007407A5" w:rsidP="007407A5">
      <w:pPr>
        <w:ind w:firstLine="709"/>
        <w:jc w:val="center"/>
        <w:rPr>
          <w:rFonts w:eastAsia="Times New Roman" w:cs="Times New Roman"/>
          <w:sz w:val="28"/>
          <w:szCs w:val="28"/>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sidRPr="007407A5">
        <w:rPr>
          <w:rFonts w:eastAsia="Times New Roman" w:cs="Times New Roman"/>
          <w:sz w:val="28"/>
          <w:szCs w:val="28"/>
        </w:rPr>
        <w:t xml:space="preserve"> 3</w:t>
      </w: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t>Продовження додатку 2</w:t>
      </w:r>
    </w:p>
    <w:p w14:paraId="74E2603C" w14:textId="77777777" w:rsidR="007407A5" w:rsidRDefault="007407A5" w:rsidP="007407A5">
      <w:pPr>
        <w:ind w:firstLine="709"/>
        <w:jc w:val="both"/>
        <w:rPr>
          <w:rFonts w:eastAsia="Times New Roman" w:cs="Times New Roman"/>
          <w:sz w:val="28"/>
          <w:szCs w:val="28"/>
        </w:rPr>
      </w:pPr>
    </w:p>
    <w:p w14:paraId="2B92E27F" w14:textId="77777777" w:rsidR="007407A5" w:rsidRDefault="007407A5" w:rsidP="007407A5">
      <w:pPr>
        <w:ind w:firstLine="709"/>
        <w:jc w:val="both"/>
        <w:rPr>
          <w:rFonts w:eastAsia="Times New Roman" w:cs="Times New Roman"/>
          <w:sz w:val="28"/>
          <w:szCs w:val="28"/>
        </w:rPr>
      </w:pPr>
    </w:p>
    <w:p w14:paraId="3D07EFFD"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xml:space="preserve"> оформлення трудових відносин та/або виплати зарплати менше встановленого законодавством розміру;</w:t>
      </w:r>
    </w:p>
    <w:p w14:paraId="748E8C2E"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r>
    </w:p>
    <w:p w14:paraId="1BA4C7A9"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6. Міська тимчасова комісія під час виконання покладених на неї завдань взаємодіє з структурними підрозідлами органів місцевого самоврядування, підприємствами, установами та організаціями.</w:t>
      </w:r>
    </w:p>
    <w:p w14:paraId="1B8C571E" w14:textId="77777777" w:rsidR="007407A5" w:rsidRPr="007407A5" w:rsidRDefault="007407A5" w:rsidP="007407A5">
      <w:pPr>
        <w:ind w:firstLine="709"/>
        <w:jc w:val="both"/>
        <w:rPr>
          <w:rFonts w:eastAsia="Times New Roman" w:cs="Times New Roman"/>
          <w:sz w:val="28"/>
          <w:szCs w:val="28"/>
        </w:rPr>
      </w:pPr>
    </w:p>
    <w:p w14:paraId="71F6E0A1"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 xml:space="preserve">7. Формою роботи міської тимчасової комісії є засідання, що проводяться за рішенням її голови, але не рідше одного разу на місяць. </w:t>
      </w:r>
    </w:p>
    <w:p w14:paraId="27146C50"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Засідання міської тимчасової комісії веде голова, а у разі його відсутності - один із заступників голови.</w:t>
      </w:r>
    </w:p>
    <w:p w14:paraId="558BFB39"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Підготовку матеріалів для розгляду на засіданнях міської тимчасової комісії забезпечує її секретар.</w:t>
      </w:r>
    </w:p>
    <w:p w14:paraId="7631A274"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Засідання міської тимчасової комісії вважається правомочним, якщо на ньому присутні більш як половина її членів.</w:t>
      </w:r>
    </w:p>
    <w:p w14:paraId="693239CB" w14:textId="77777777" w:rsidR="007407A5" w:rsidRPr="007407A5" w:rsidRDefault="007407A5" w:rsidP="007407A5">
      <w:pPr>
        <w:ind w:firstLine="709"/>
        <w:jc w:val="both"/>
        <w:rPr>
          <w:rFonts w:eastAsia="Times New Roman" w:cs="Times New Roman"/>
          <w:sz w:val="28"/>
          <w:szCs w:val="28"/>
        </w:rPr>
      </w:pPr>
    </w:p>
    <w:p w14:paraId="46E0121D"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8. На своїх засіданнях міська тимчасова комісія розробляє пропозиції та рекомендації з питань, що належать до її компетенції.</w:t>
      </w:r>
    </w:p>
    <w:p w14:paraId="1D23B58F"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Пропозиції та рекомендації вважаються схваленими, якщо за них проголосувало більш як половина присутніх на засіданні членів міської тимчасової комісії. У разі рівного розподілу голосів вирішальним є голос головуючого на засіданні.</w:t>
      </w:r>
    </w:p>
    <w:p w14:paraId="7DF8EC50"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Пропозиції та рекомендації фіксуються у протоколі засідання, який підписується головуючим на засіданні та секретарем і надсилається усім членам міської тимчасової комісії та виконавцям. Член міської тимчасової комісії, який не підтримує пропозиції та рекомендації, може викласти у письмовій формі свою окрему думку, що додається до протоколу засідання.</w:t>
      </w:r>
    </w:p>
    <w:p w14:paraId="518EB033" w14:textId="77777777" w:rsidR="007407A5" w:rsidRPr="007407A5" w:rsidRDefault="007407A5" w:rsidP="007407A5">
      <w:pPr>
        <w:ind w:firstLine="709"/>
        <w:jc w:val="both"/>
        <w:rPr>
          <w:rFonts w:eastAsia="Times New Roman" w:cs="Times New Roman"/>
          <w:sz w:val="28"/>
          <w:szCs w:val="28"/>
        </w:rPr>
      </w:pPr>
    </w:p>
    <w:p w14:paraId="6A0A672C" w14:textId="77777777" w:rsidR="007407A5" w:rsidRPr="007407A5" w:rsidRDefault="007407A5" w:rsidP="007407A5">
      <w:pPr>
        <w:ind w:firstLine="709"/>
        <w:jc w:val="both"/>
        <w:rPr>
          <w:rFonts w:eastAsia="Times New Roman" w:cs="Times New Roman"/>
          <w:color w:val="FF0000"/>
          <w:sz w:val="28"/>
          <w:szCs w:val="28"/>
        </w:rPr>
      </w:pPr>
    </w:p>
    <w:p w14:paraId="2C24EA3D" w14:textId="77777777" w:rsidR="007407A5" w:rsidRPr="007407A5" w:rsidRDefault="007407A5" w:rsidP="007407A5">
      <w:pPr>
        <w:ind w:firstLine="709"/>
        <w:jc w:val="both"/>
        <w:rPr>
          <w:rFonts w:eastAsia="Times New Roman" w:cs="Times New Roman"/>
          <w:color w:val="FF0000"/>
          <w:sz w:val="28"/>
          <w:szCs w:val="28"/>
        </w:rPr>
      </w:pPr>
      <w:r w:rsidRPr="007407A5">
        <w:rPr>
          <w:rFonts w:eastAsia="Times New Roman" w:cs="Times New Roman"/>
          <w:color w:val="FF0000"/>
          <w:sz w:val="28"/>
          <w:szCs w:val="28"/>
        </w:rPr>
        <w:t xml:space="preserve"> </w:t>
      </w:r>
    </w:p>
    <w:p w14:paraId="1F3AE52D"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Керуючий справами</w:t>
      </w:r>
    </w:p>
    <w:p w14:paraId="3176BFF9" w14:textId="77777777" w:rsidR="007407A5" w:rsidRPr="007407A5" w:rsidRDefault="007407A5" w:rsidP="007407A5">
      <w:pPr>
        <w:ind w:firstLine="709"/>
        <w:jc w:val="both"/>
        <w:rPr>
          <w:rFonts w:eastAsia="Times New Roman" w:cs="Times New Roman"/>
          <w:sz w:val="28"/>
          <w:szCs w:val="28"/>
        </w:rPr>
      </w:pPr>
      <w:r w:rsidRPr="007407A5">
        <w:rPr>
          <w:rFonts w:eastAsia="Times New Roman" w:cs="Times New Roman"/>
          <w:sz w:val="28"/>
          <w:szCs w:val="28"/>
        </w:rPr>
        <w:t>викона</w:t>
      </w:r>
      <w:r w:rsidRPr="007407A5">
        <w:rPr>
          <w:rFonts w:eastAsia="Times New Roman" w:cs="Times New Roman"/>
          <w:sz w:val="28"/>
          <w:szCs w:val="28"/>
          <w:lang w:val="uk-UA"/>
        </w:rPr>
        <w:t>в</w:t>
      </w:r>
      <w:r w:rsidRPr="007407A5">
        <w:rPr>
          <w:rFonts w:eastAsia="Times New Roman" w:cs="Times New Roman"/>
          <w:sz w:val="28"/>
          <w:szCs w:val="28"/>
        </w:rPr>
        <w:t>чого комітету</w:t>
      </w: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r>
      <w:r w:rsidRPr="007407A5">
        <w:rPr>
          <w:rFonts w:eastAsia="Times New Roman" w:cs="Times New Roman"/>
          <w:sz w:val="28"/>
          <w:szCs w:val="28"/>
        </w:rPr>
        <w:tab/>
        <w:t>Сергій ДЕНЕГА</w:t>
      </w:r>
    </w:p>
    <w:p w14:paraId="33AF7804" w14:textId="77777777" w:rsidR="007407A5" w:rsidRPr="007407A5" w:rsidRDefault="007407A5" w:rsidP="007407A5">
      <w:pPr>
        <w:ind w:firstLine="709"/>
        <w:jc w:val="both"/>
        <w:rPr>
          <w:rFonts w:eastAsia="Times New Roman" w:cs="Times New Roman"/>
          <w:sz w:val="28"/>
          <w:szCs w:val="28"/>
        </w:rPr>
      </w:pPr>
    </w:p>
    <w:p w14:paraId="6D9C1302" w14:textId="77777777" w:rsidR="003D2105" w:rsidRDefault="003D2105"/>
    <w:sectPr w:rsidR="003D2105" w:rsidSect="00D214FE">
      <w:headerReference w:type="default" r:id="rId6"/>
      <w:headerReference w:type="first" r:id="rId7"/>
      <w:pgSz w:w="11906" w:h="16838"/>
      <w:pgMar w:top="851"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8B901" w14:textId="77777777" w:rsidR="00000000" w:rsidRDefault="00D95478">
      <w:r>
        <w:separator/>
      </w:r>
    </w:p>
  </w:endnote>
  <w:endnote w:type="continuationSeparator" w:id="0">
    <w:p w14:paraId="236E158C" w14:textId="77777777" w:rsidR="00000000" w:rsidRDefault="00D9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2209A" w14:textId="77777777" w:rsidR="00000000" w:rsidRDefault="00D95478">
      <w:r>
        <w:separator/>
      </w:r>
    </w:p>
  </w:footnote>
  <w:footnote w:type="continuationSeparator" w:id="0">
    <w:p w14:paraId="099430D3" w14:textId="77777777" w:rsidR="00000000" w:rsidRDefault="00D9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C5230" w14:textId="77777777" w:rsidR="002070C1" w:rsidRDefault="00D95478" w:rsidP="002070C1">
    <w:pPr>
      <w:pStyle w:val="a4"/>
      <w:jc w:val="center"/>
    </w:pPr>
  </w:p>
  <w:p w14:paraId="1FE9D308" w14:textId="77777777" w:rsidR="00C23AFA" w:rsidRDefault="00D954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B03E7" w14:textId="77777777" w:rsidR="00CA3A6D" w:rsidRDefault="00D95478">
    <w:pPr>
      <w:pStyle w:val="a4"/>
      <w:jc w:val="center"/>
    </w:pPr>
  </w:p>
  <w:p w14:paraId="5EF177E7" w14:textId="77777777" w:rsidR="00874DFE" w:rsidRDefault="00D954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A5"/>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7A5"/>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2554"/>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5478"/>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5189"/>
  <w15:chartTrackingRefBased/>
  <w15:docId w15:val="{BE709490-C73F-479B-8BCB-AC6AD5CA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header"/>
    <w:basedOn w:val="a"/>
    <w:link w:val="a5"/>
    <w:uiPriority w:val="99"/>
    <w:semiHidden/>
    <w:unhideWhenUsed/>
    <w:rsid w:val="007407A5"/>
    <w:pPr>
      <w:tabs>
        <w:tab w:val="center" w:pos="4819"/>
        <w:tab w:val="right" w:pos="9639"/>
      </w:tabs>
    </w:pPr>
  </w:style>
  <w:style w:type="character" w:customStyle="1" w:styleId="a5">
    <w:name w:val="Верхний колонтитул Знак"/>
    <w:basedOn w:val="a0"/>
    <w:link w:val="a4"/>
    <w:uiPriority w:val="99"/>
    <w:semiHidden/>
    <w:rsid w:val="007407A5"/>
    <w:rPr>
      <w:rFonts w:ascii="Times New Roman" w:eastAsia="MS Mincho"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3571</Words>
  <Characters>2037</Characters>
  <Application>Microsoft Office Word</Application>
  <DocSecurity>0</DocSecurity>
  <Lines>16</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2022-01-13T09:08:00Z</dcterms:created>
  <dcterms:modified xsi:type="dcterms:W3CDTF">2022-01-13T12:52:00Z</dcterms:modified>
</cp:coreProperties>
</file>