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C491" w14:textId="77777777" w:rsidR="000E42E2" w:rsidRPr="00CA19E7" w:rsidRDefault="000E42E2" w:rsidP="000E4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                                                                          </w:t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3201900" wp14:editId="416BFF8C">
            <wp:extent cx="457200" cy="6477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               </w:t>
      </w:r>
      <w:bookmarkStart w:id="0" w:name="_Hlk100757934"/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Проєкт Ірини БАРАБУХ         </w:t>
      </w:r>
      <w:bookmarkEnd w:id="0"/>
    </w:p>
    <w:p w14:paraId="5B509FAD" w14:textId="77777777" w:rsidR="000E42E2" w:rsidRDefault="000E42E2" w:rsidP="000E42E2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A19E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3F0AA81C" w14:textId="77777777" w:rsidR="000E42E2" w:rsidRPr="005644F9" w:rsidRDefault="000E42E2" w:rsidP="000E42E2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14:paraId="16E0191C" w14:textId="77777777" w:rsidR="000E42E2" w:rsidRPr="00E00819" w:rsidRDefault="000E42E2" w:rsidP="000E42E2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2E2FFFF8" w14:textId="77777777" w:rsidR="000E42E2" w:rsidRPr="00E00819" w:rsidRDefault="000E42E2" w:rsidP="000E42E2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027B9ACC" w14:textId="77777777" w:rsidR="000E42E2" w:rsidRPr="00E00819" w:rsidRDefault="000E42E2" w:rsidP="000E42E2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16"/>
          <w:szCs w:val="16"/>
          <w:lang w:eastAsia="ru-RU"/>
        </w:rPr>
      </w:pPr>
    </w:p>
    <w:p w14:paraId="5AEE4572" w14:textId="77777777" w:rsidR="000E42E2" w:rsidRPr="00E00819" w:rsidRDefault="000E42E2" w:rsidP="000E42E2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01EB0F3F" w14:textId="77777777" w:rsidR="000E42E2" w:rsidRPr="00E00819" w:rsidRDefault="000E42E2" w:rsidP="000E42E2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</w:p>
    <w:p w14:paraId="31B48C6D" w14:textId="031B4D41" w:rsidR="000E42E2" w:rsidRPr="00FD6803" w:rsidRDefault="00FD6803" w:rsidP="000E42E2">
      <w:pPr>
        <w:spacing w:after="0" w:line="240" w:lineRule="auto"/>
        <w:jc w:val="both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FD6803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21 липня</w:t>
      </w:r>
      <w:r w:rsidR="000E42E2" w:rsidRPr="00E0081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2022 року</w:t>
      </w:r>
      <w:r w:rsidR="000E42E2" w:rsidRPr="00E0081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ab/>
        <w:t xml:space="preserve">                      </w:t>
      </w:r>
      <w:r w:rsidR="000E42E2" w:rsidRPr="00E0081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ab/>
        <w:t xml:space="preserve"> </w:t>
      </w:r>
      <w:r w:rsidR="000E42E2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</w:t>
      </w:r>
      <w:r w:rsidR="00591B33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      </w:t>
      </w:r>
      <w:r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ab/>
      </w:r>
      <w:r w:rsidR="000E42E2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</w:t>
      </w:r>
      <w:r w:rsidR="000E42E2" w:rsidRPr="00E0081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№</w:t>
      </w:r>
      <w:r w:rsidRPr="00FD6803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235-ПРВ-22-7200</w:t>
      </w:r>
    </w:p>
    <w:p w14:paraId="767BEF57" w14:textId="77777777" w:rsidR="000E42E2" w:rsidRPr="00CA19E7" w:rsidRDefault="000E42E2" w:rsidP="000E4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1"/>
      </w:tblGrid>
      <w:tr w:rsidR="000E42E2" w:rsidRPr="00CA19E7" w14:paraId="05A93BCC" w14:textId="77777777" w:rsidTr="00587C27">
        <w:trPr>
          <w:trHeight w:val="952"/>
        </w:trPr>
        <w:tc>
          <w:tcPr>
            <w:tcW w:w="4421" w:type="dxa"/>
          </w:tcPr>
          <w:p w14:paraId="0B99C0DD" w14:textId="77777777" w:rsidR="000E42E2" w:rsidRPr="000E42E2" w:rsidRDefault="000E42E2" w:rsidP="000E42E2">
            <w:pPr>
              <w:spacing w:before="1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схвалення </w:t>
            </w:r>
            <w:bookmarkStart w:id="1" w:name="_Hlk10196118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</w:t>
            </w:r>
            <w:r w:rsidR="000F5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bookmarkEnd w:id="1"/>
            <w:r w:rsidR="00D0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строкової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r w:rsidR="00D0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— </w:t>
            </w:r>
            <w:r w:rsidRPr="000E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E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розвитку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0E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 на період до 2027 року</w:t>
            </w:r>
          </w:p>
          <w:p w14:paraId="24889343" w14:textId="77777777" w:rsidR="000E42E2" w:rsidRPr="000E42E2" w:rsidRDefault="000E42E2" w:rsidP="000E4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E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№7200-ПР-03 </w:t>
            </w:r>
          </w:p>
          <w:p w14:paraId="268634ED" w14:textId="77777777" w:rsidR="000E42E2" w:rsidRPr="00CA19E7" w:rsidRDefault="000E42E2" w:rsidP="00587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bookmarkStart w:id="2" w:name="_GoBack"/>
        <w:bookmarkEnd w:id="2"/>
      </w:tr>
    </w:tbl>
    <w:p w14:paraId="4CE99747" w14:textId="2FDFC894" w:rsidR="000E42E2" w:rsidRPr="006500A4" w:rsidRDefault="000E42E2" w:rsidP="000E42E2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0E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сталого економічного та соціального розвитку </w:t>
      </w:r>
      <w:proofErr w:type="spellStart"/>
      <w:r w:rsidRPr="000E42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0E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громади, створення сприятливих умов для розвитку економіки, конкурентоспроможності, привабливого інвестиційного клімату громади, відповідно до законів України «Про стимулювання розвитку регіонів», «Про засади державної регіональної політики», </w:t>
      </w:r>
      <w:bookmarkStart w:id="3" w:name="_Hlk86351612"/>
      <w:r w:rsidRPr="000E4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 Кабінету Міністрів України</w:t>
      </w:r>
      <w:bookmarkEnd w:id="3"/>
      <w:r w:rsidRPr="000E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11.11.2015 №932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заходів», від 05.08.2020 №695 «Про затвердження Державної стратегії регіонального розвитку на 2021-2027 роки»</w:t>
      </w:r>
      <w:r w:rsidR="00D130EB" w:rsidRPr="00D130E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1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керуючись</w:t>
      </w:r>
      <w:r w:rsidR="0023371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r w:rsidR="00233716">
        <w:rPr>
          <w:rStyle w:val="fontstyle01"/>
        </w:rPr>
        <w:t>статтею 27, підпунктом 3 пункту б) статті 28, статтями 52</w:t>
      </w:r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, 59 Закону України «Про місцеве самоврядування в Україні», виконавчий комітет </w:t>
      </w:r>
      <w:proofErr w:type="spellStart"/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</w:t>
      </w:r>
    </w:p>
    <w:p w14:paraId="385D54A9" w14:textId="77777777" w:rsidR="000E42E2" w:rsidRPr="00E00819" w:rsidRDefault="000E42E2" w:rsidP="000E42E2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6F85B760" w14:textId="77777777" w:rsidR="000E42E2" w:rsidRPr="00E00819" w:rsidRDefault="000E42E2" w:rsidP="000E42E2">
      <w:pPr>
        <w:spacing w:after="0" w:line="240" w:lineRule="auto"/>
        <w:ind w:right="-1" w:firstLine="567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 w:rsidRPr="00E00819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В И Р І Ш И В:</w:t>
      </w:r>
    </w:p>
    <w:p w14:paraId="77D8D1DC" w14:textId="77777777" w:rsidR="000E42E2" w:rsidRPr="00CA19E7" w:rsidRDefault="000E42E2" w:rsidP="000E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3F7EC04" w14:textId="2EB9B621" w:rsidR="000E42E2" w:rsidRPr="000E42E2" w:rsidRDefault="000E42E2" w:rsidP="00896F18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Схвалити </w:t>
      </w:r>
      <w:r w:rsidR="000F50CE" w:rsidRPr="000F50CE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довг</w:t>
      </w:r>
      <w:r w:rsidR="00D07AD2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острокову</w:t>
      </w:r>
      <w:r w:rsidR="000F50CE" w:rsidRPr="000F50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програму </w:t>
      </w:r>
      <w:r w:rsidR="00D07AD2">
        <w:rPr>
          <w:rFonts w:ascii="Times New Roman" w:eastAsia="Times New Roman" w:hAnsi="Times New Roman" w:cs="Times New Roman"/>
          <w:sz w:val="28"/>
          <w:szCs w:val="28"/>
          <w:lang w:eastAsia="zh-CN"/>
        </w:rPr>
        <w:t>—</w:t>
      </w:r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Стратегі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розвитку </w:t>
      </w:r>
      <w:bookmarkStart w:id="4" w:name="_Hlk86393171"/>
      <w:proofErr w:type="spellStart"/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міської територіальної  громади</w:t>
      </w:r>
      <w:bookmarkEnd w:id="4"/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E42E2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bookmarkStart w:id="5" w:name="_Hlk86392596"/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період </w:t>
      </w:r>
      <w:bookmarkEnd w:id="5"/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>до 2027 року №7200-ПР-03 згідно з додатком.</w:t>
      </w:r>
    </w:p>
    <w:p w14:paraId="69264279" w14:textId="7D6BDE17" w:rsidR="000E42E2" w:rsidRDefault="00591B33" w:rsidP="00896F18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suppressAutoHyphens/>
        <w:autoSpaceDE w:val="0"/>
        <w:spacing w:before="18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Подати </w:t>
      </w:r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Стратегі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розвитку </w:t>
      </w:r>
      <w:proofErr w:type="spellStart"/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територіальної громади </w:t>
      </w:r>
      <w:r w:rsidRPr="000E42E2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період до 2027 року</w:t>
      </w:r>
      <w:r w:rsidR="009C2F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№7200-ПР-03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затвердження </w:t>
      </w:r>
      <w:proofErr w:type="spellStart"/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</w:t>
      </w:r>
      <w:r w:rsidR="009C2F8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ій</w:t>
      </w:r>
      <w:proofErr w:type="spellEnd"/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</w:t>
      </w:r>
      <w:r w:rsidR="009C2F8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ій</w:t>
      </w:r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рад</w:t>
      </w:r>
      <w:r w:rsidR="009C2F8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і</w:t>
      </w:r>
      <w:r w:rsidR="000E42E2" w:rsidRPr="000E42E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2EA2D8A" w14:textId="77777777" w:rsidR="009C2F86" w:rsidRDefault="009C2F86" w:rsidP="009C2F86">
      <w:pPr>
        <w:widowControl w:val="0"/>
        <w:suppressAutoHyphens/>
        <w:autoSpaceDE w:val="0"/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  Виконавчим органам </w:t>
      </w:r>
      <w:bookmarkStart w:id="6" w:name="_Hlk86392544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0CE1D0B7" w14:textId="23507DBE" w:rsidR="009C2F86" w:rsidRDefault="009C2F86" w:rsidP="009C2F86">
      <w:pPr>
        <w:widowControl w:val="0"/>
        <w:suppressAutoHyphens/>
        <w:autoSpaceDE w:val="0"/>
        <w:spacing w:before="1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>
        <w:rPr>
          <w:rFonts w:ascii="Times New Roman" w:eastAsia="Times New Roman" w:hAnsi="Times New Roman" w:cs="Times New Roman"/>
          <w:sz w:val="10"/>
          <w:szCs w:val="1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Забезпечити перегляд діючих цільових програм для приведення їх 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відповідність до стратегічних пріоритетів та цілей, визначених у Стратегії </w:t>
      </w:r>
      <w:bookmarkStart w:id="7" w:name="_Hlk86392949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територіальної громади на період до 2027 року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№7200-ПР-03.</w:t>
      </w:r>
    </w:p>
    <w:p w14:paraId="4E10BE31" w14:textId="498C8936" w:rsidR="009C2F86" w:rsidRDefault="009C2F86" w:rsidP="009C2F86">
      <w:pPr>
        <w:widowControl w:val="0"/>
        <w:tabs>
          <w:tab w:val="left" w:pos="142"/>
          <w:tab w:val="left" w:pos="426"/>
        </w:tabs>
        <w:suppressAutoHyphens/>
        <w:autoSpaceDE w:val="0"/>
        <w:spacing w:before="1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3.2.</w:t>
      </w:r>
      <w:r>
        <w:rPr>
          <w:rFonts w:ascii="Times New Roman" w:eastAsia="Times New Roman" w:hAnsi="Times New Roman" w:cs="Times New Roman"/>
          <w:sz w:val="10"/>
          <w:szCs w:val="1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Забезпечити врахування основних положень Стратегії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територіальної громади на період до 2027 року №7200-ПР-03 при розробці програмних документів, бюджетних показників, галузевих планів розвитку. </w:t>
      </w:r>
    </w:p>
    <w:p w14:paraId="735D431A" w14:textId="41CFF647" w:rsidR="009C2F86" w:rsidRDefault="009C2F86" w:rsidP="009C2F86">
      <w:pPr>
        <w:widowControl w:val="0"/>
        <w:tabs>
          <w:tab w:val="left" w:pos="426"/>
        </w:tabs>
        <w:suppressAutoHyphens/>
        <w:autoSpaceDE w:val="0"/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Підприємствам, установам та організаціям усіх форм власності, громадським організаціям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територіальної громади рекомендувати керуватися даним документом при розробці планів своєї діяльності.</w:t>
      </w:r>
    </w:p>
    <w:p w14:paraId="5BE42C76" w14:textId="3876F113" w:rsidR="009C2F86" w:rsidRDefault="009C2F86" w:rsidP="009C2F86">
      <w:pPr>
        <w:widowControl w:val="0"/>
        <w:tabs>
          <w:tab w:val="left" w:pos="426"/>
        </w:tabs>
        <w:suppressAutoHyphens/>
        <w:autoSpaceDE w:val="0"/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5.   Контроль та організацію виконання цього рішення покласти на заступників міського голови з питань діяльності виконавчих органів ради відповідно до розподілу функціональних обов’язків та керуючого справами виконавчого комітету.</w:t>
      </w:r>
    </w:p>
    <w:p w14:paraId="773C897D" w14:textId="77777777" w:rsidR="009850B0" w:rsidRDefault="009850B0" w:rsidP="000E42E2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BB7F95" w14:textId="77777777" w:rsidR="009850B0" w:rsidRDefault="009850B0" w:rsidP="000E42E2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28D3BB" w14:textId="77777777" w:rsidR="009850B0" w:rsidRDefault="009850B0" w:rsidP="000E42E2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5F4D29" w14:textId="31403C26" w:rsidR="000E42E2" w:rsidRDefault="000E42E2" w:rsidP="000E42E2"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>Міський голова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МЕНЗУЛ</w:t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</w:p>
    <w:sectPr w:rsidR="000E42E2" w:rsidSect="00591B33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E3EA2"/>
    <w:multiLevelType w:val="hybridMultilevel"/>
    <w:tmpl w:val="53FA06C4"/>
    <w:lvl w:ilvl="0" w:tplc="F6F809E0">
      <w:start w:val="1"/>
      <w:numFmt w:val="decimal"/>
      <w:lvlText w:val="%1."/>
      <w:lvlJc w:val="left"/>
      <w:pPr>
        <w:ind w:left="193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1" w:hanging="360"/>
      </w:pPr>
    </w:lvl>
    <w:lvl w:ilvl="2" w:tplc="0422001B" w:tentative="1">
      <w:start w:val="1"/>
      <w:numFmt w:val="lowerRoman"/>
      <w:lvlText w:val="%3."/>
      <w:lvlJc w:val="right"/>
      <w:pPr>
        <w:ind w:left="3361" w:hanging="180"/>
      </w:pPr>
    </w:lvl>
    <w:lvl w:ilvl="3" w:tplc="0422000F" w:tentative="1">
      <w:start w:val="1"/>
      <w:numFmt w:val="decimal"/>
      <w:lvlText w:val="%4."/>
      <w:lvlJc w:val="left"/>
      <w:pPr>
        <w:ind w:left="4081" w:hanging="360"/>
      </w:pPr>
    </w:lvl>
    <w:lvl w:ilvl="4" w:tplc="04220019" w:tentative="1">
      <w:start w:val="1"/>
      <w:numFmt w:val="lowerLetter"/>
      <w:lvlText w:val="%5."/>
      <w:lvlJc w:val="left"/>
      <w:pPr>
        <w:ind w:left="4801" w:hanging="360"/>
      </w:pPr>
    </w:lvl>
    <w:lvl w:ilvl="5" w:tplc="0422001B" w:tentative="1">
      <w:start w:val="1"/>
      <w:numFmt w:val="lowerRoman"/>
      <w:lvlText w:val="%6."/>
      <w:lvlJc w:val="right"/>
      <w:pPr>
        <w:ind w:left="5521" w:hanging="180"/>
      </w:pPr>
    </w:lvl>
    <w:lvl w:ilvl="6" w:tplc="0422000F" w:tentative="1">
      <w:start w:val="1"/>
      <w:numFmt w:val="decimal"/>
      <w:lvlText w:val="%7."/>
      <w:lvlJc w:val="left"/>
      <w:pPr>
        <w:ind w:left="6241" w:hanging="360"/>
      </w:pPr>
    </w:lvl>
    <w:lvl w:ilvl="7" w:tplc="04220019" w:tentative="1">
      <w:start w:val="1"/>
      <w:numFmt w:val="lowerLetter"/>
      <w:lvlText w:val="%8."/>
      <w:lvlJc w:val="left"/>
      <w:pPr>
        <w:ind w:left="6961" w:hanging="360"/>
      </w:pPr>
    </w:lvl>
    <w:lvl w:ilvl="8" w:tplc="0422001B" w:tentative="1">
      <w:start w:val="1"/>
      <w:numFmt w:val="lowerRoman"/>
      <w:lvlText w:val="%9."/>
      <w:lvlJc w:val="right"/>
      <w:pPr>
        <w:ind w:left="76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E2"/>
    <w:rsid w:val="000E42E2"/>
    <w:rsid w:val="000F50CE"/>
    <w:rsid w:val="00140156"/>
    <w:rsid w:val="001736EE"/>
    <w:rsid w:val="00233716"/>
    <w:rsid w:val="00424F6E"/>
    <w:rsid w:val="00591B33"/>
    <w:rsid w:val="005C0983"/>
    <w:rsid w:val="00896F18"/>
    <w:rsid w:val="009850B0"/>
    <w:rsid w:val="009C2F86"/>
    <w:rsid w:val="00BF5AB3"/>
    <w:rsid w:val="00D07AD2"/>
    <w:rsid w:val="00D130EB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0C4D"/>
  <w15:chartTrackingRefBased/>
  <w15:docId w15:val="{37410A12-BEF2-4AC8-97E6-19EA5345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2E2"/>
    <w:rPr>
      <w:rFonts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0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F8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233716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Kotsiubailo</cp:lastModifiedBy>
  <cp:revision>11</cp:revision>
  <cp:lastPrinted>2022-07-21T07:29:00Z</cp:lastPrinted>
  <dcterms:created xsi:type="dcterms:W3CDTF">2022-07-21T07:22:00Z</dcterms:created>
  <dcterms:modified xsi:type="dcterms:W3CDTF">2022-07-21T08:57:00Z</dcterms:modified>
</cp:coreProperties>
</file>