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2A" w:rsidRDefault="00563EC0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107D76D" wp14:editId="574CEDA7">
            <wp:extent cx="9334500" cy="60071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DB2A2A" w:rsidSect="00563EC0">
      <w:pgSz w:w="16838" w:h="11906" w:orient="landscape"/>
      <w:pgMar w:top="907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0"/>
    <w:rsid w:val="000C2EC5"/>
    <w:rsid w:val="00563EC0"/>
    <w:rsid w:val="0058073D"/>
    <w:rsid w:val="00DB2A2A"/>
    <w:rsid w:val="00E2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E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110;&#1079;&#1042;&#1080;&#1076;&#1072;&#1090;&#1082;&#1110;&#1074;\&#1044;&#1110;&#1072;&#1075;&#1088;&#1072;&#1084;&#1080;\Print\&#1044;&#1110;&#1072;&#1075;&#1088;&#1050;&#1088;&#1091;&#107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400"/>
            </a:pPr>
            <a:r>
              <a:rPr lang="ru-RU" sz="2400" b="1" i="0" baseline="0">
                <a:effectLst/>
              </a:rPr>
              <a:t>Структура видатків бюджету м.Вараш на 2019 рік </a:t>
            </a:r>
            <a:endParaRPr lang="ru-RU" sz="2400">
              <a:effectLst/>
            </a:endParaRPr>
          </a:p>
        </c:rich>
      </c:tx>
      <c:layout>
        <c:manualLayout>
          <c:xMode val="edge"/>
          <c:yMode val="edge"/>
          <c:x val="0.18381091649258127"/>
          <c:y val="1.1671189092906729E-3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243483525937129"/>
          <c:y val="6.812493272725767E-2"/>
          <c:w val="0.66344116954065502"/>
          <c:h val="0.93146294410359587"/>
        </c:manualLayout>
      </c:layout>
      <c:pie3DChart>
        <c:varyColors val="1"/>
        <c:ser>
          <c:idx val="0"/>
          <c:order val="0"/>
          <c:spPr>
            <a:gradFill>
              <a:gsLst>
                <a:gs pos="0">
                  <a:srgbClr val="00B050"/>
                </a:gs>
                <a:gs pos="50000">
                  <a:schemeClr val="accent5">
                    <a:lumMod val="60000"/>
                    <a:lumOff val="4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5400000" scaled="0"/>
            </a:gradFill>
          </c:spPr>
          <c:dPt>
            <c:idx val="1"/>
            <c:bubble3D val="0"/>
            <c:spPr>
              <a:gradFill>
                <a:gsLst>
                  <a:gs pos="0">
                    <a:schemeClr val="accent4">
                      <a:lumMod val="75000"/>
                    </a:schemeClr>
                  </a:gs>
                  <a:gs pos="50000">
                    <a:schemeClr val="accent4">
                      <a:lumMod val="40000"/>
                      <a:lumOff val="60000"/>
                    </a:schemeClr>
                  </a:gs>
                  <a:gs pos="100000">
                    <a:schemeClr val="accent4">
                      <a:lumMod val="40000"/>
                      <a:lumOff val="60000"/>
                    </a:schemeClr>
                  </a:gs>
                </a:gsLst>
                <a:lin ang="5400000" scaled="0"/>
              </a:gradFill>
            </c:spPr>
          </c:dPt>
          <c:dPt>
            <c:idx val="2"/>
            <c:bubble3D val="0"/>
            <c:explosion val="39"/>
            <c:spPr>
              <a:gradFill>
                <a:gsLst>
                  <a:gs pos="0">
                    <a:srgbClr val="FF0000"/>
                  </a:gs>
                  <a:gs pos="50000">
                    <a:srgbClr val="FF9966"/>
                  </a:gs>
                  <a:gs pos="100000">
                    <a:schemeClr val="accent2">
                      <a:lumMod val="40000"/>
                      <a:lumOff val="60000"/>
                    </a:schemeClr>
                  </a:gs>
                </a:gsLst>
                <a:lin ang="5400000" scaled="0"/>
              </a:gradFill>
            </c:spPr>
          </c:dPt>
          <c:dLbls>
            <c:dLbl>
              <c:idx val="0"/>
              <c:layout>
                <c:manualLayout>
                  <c:x val="-0.18712088833363472"/>
                  <c:y val="-0.19695679931900403"/>
                </c:manualLayout>
              </c:layout>
              <c:spPr/>
              <c:txPr>
                <a:bodyPr/>
                <a:lstStyle/>
                <a:p>
                  <a:pPr>
                    <a:defRPr sz="1400" b="1" baseline="0"/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4.9105748524649481E-2"/>
                  <c:y val="2.7222969080084501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4.4605860854032078E-2"/>
                  <c:y val="6.807720614315102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1940435290056384"/>
                  <c:y val="-6.1782623706690042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2.0776141239130061E-2"/>
                  <c:y val="-7.8873432900095367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5.2909467997084916E-2"/>
                  <c:y val="6.273318557952536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4.8964218455743842E-2"/>
                  <c:y val="5.6577086280056574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 b="1" baseline="0"/>
                </a:pPr>
                <a:endParaRPr lang="ru-RU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ЗагСпец!$A$2:$A$4</c:f>
              <c:strCache>
                <c:ptCount val="3"/>
                <c:pt idx="0">
                  <c:v>Загальний фонд всього 529,2 млн.грн., без вилучення - 472,8 млн.грн</c:v>
                </c:pt>
                <c:pt idx="1">
                  <c:v>Спеціальний фонд - 23,0 млн.грн</c:v>
                </c:pt>
                <c:pt idx="2">
                  <c:v>Реверсна дотація (вилучення) - 56,4 млн.грн</c:v>
                </c:pt>
              </c:strCache>
            </c:strRef>
          </c:cat>
          <c:val>
            <c:numRef>
              <c:f>ЗагСпец!$B$2:$B$4</c:f>
              <c:numCache>
                <c:formatCode>General</c:formatCode>
                <c:ptCount val="3"/>
                <c:pt idx="0">
                  <c:v>472.8</c:v>
                </c:pt>
                <c:pt idx="1">
                  <c:v>23</c:v>
                </c:pt>
                <c:pt idx="2" formatCode="0.0">
                  <c:v>56.4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1284072789439942"/>
          <c:y val="0.76189485580863903"/>
          <c:w val="0.74466942284615256"/>
          <c:h val="0.17680580739710375"/>
        </c:manualLayout>
      </c:layout>
      <c:overlay val="0"/>
      <c:txPr>
        <a:bodyPr/>
        <a:lstStyle/>
        <a:p>
          <a:pPr rtl="0">
            <a:defRPr sz="140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0.53792</cdr:x>
      <cdr:y>0.44123</cdr:y>
    </cdr:from>
    <cdr:to>
      <cdr:x>0.7112</cdr:x>
      <cdr:y>0.54934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926825" y="2131605"/>
          <a:ext cx="1264937" cy="5222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/>
            <a:t>Загальний фонд </a:t>
          </a:r>
        </a:p>
      </cdr:txBody>
    </cdr:sp>
  </cdr:relSizeAnchor>
  <cdr:relSizeAnchor xmlns:cdr="http://schemas.openxmlformats.org/drawingml/2006/chartDrawing">
    <cdr:from>
      <cdr:x>0.30098</cdr:x>
      <cdr:y>0.12326</cdr:y>
    </cdr:from>
    <cdr:to>
      <cdr:x>0.5087</cdr:x>
      <cdr:y>0.23961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197112" y="595491"/>
          <a:ext cx="1516348" cy="5620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b="1"/>
            <a:t>Реверсна дотація (вилучення)</a:t>
          </a:r>
        </a:p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0.40014</cdr:x>
      <cdr:y>0.20728</cdr:y>
    </cdr:from>
    <cdr:to>
      <cdr:x>0.41058</cdr:x>
      <cdr:y>0.25118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2921015" y="1001403"/>
          <a:ext cx="76212" cy="212084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0.15967</cdr:x>
      <cdr:y>0.22702</cdr:y>
    </cdr:from>
    <cdr:to>
      <cdr:x>0.30059</cdr:x>
      <cdr:y>0.32295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1490482" y="1363732"/>
          <a:ext cx="1315418" cy="5762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ru-RU" sz="1200" b="1"/>
            <a:t>Спеціальний фонд</a:t>
          </a:r>
        </a:p>
      </cdr:txBody>
    </cdr:sp>
  </cdr:relSizeAnchor>
  <cdr:relSizeAnchor xmlns:cdr="http://schemas.openxmlformats.org/drawingml/2006/chartDrawing">
    <cdr:from>
      <cdr:x>0.27253</cdr:x>
      <cdr:y>0.28289</cdr:y>
    </cdr:from>
    <cdr:to>
      <cdr:x>0.36022</cdr:x>
      <cdr:y>0.32678</cdr:y>
    </cdr:to>
    <cdr:cxnSp macro="">
      <cdr:nvCxnSpPr>
        <cdr:cNvPr id="8" name="Прямая со стрелкой 7"/>
        <cdr:cNvCxnSpPr/>
      </cdr:nvCxnSpPr>
      <cdr:spPr>
        <a:xfrm xmlns:a="http://schemas.openxmlformats.org/drawingml/2006/main">
          <a:off x="2543972" y="1699319"/>
          <a:ext cx="818542" cy="263711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2018-12-21T10:46:00Z</dcterms:created>
  <dcterms:modified xsi:type="dcterms:W3CDTF">2018-12-21T10:46:00Z</dcterms:modified>
</cp:coreProperties>
</file>