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4B1" w:rsidRDefault="00CD64B1">
      <w:pPr>
        <w:rPr>
          <w:lang w:val="uk-UA"/>
        </w:rPr>
      </w:pPr>
      <w:bookmarkStart w:id="0" w:name="_GoBack"/>
      <w:bookmarkEnd w:id="0"/>
    </w:p>
    <w:p w:rsidR="00F0154D" w:rsidRDefault="00736C58">
      <w:pPr>
        <w:rPr>
          <w:lang w:val="uk-UA"/>
        </w:rPr>
      </w:pPr>
      <w:r>
        <w:rPr>
          <w:noProof/>
          <w:lang w:eastAsia="ru-RU"/>
        </w:rPr>
        <w:drawing>
          <wp:inline distT="0" distB="0" distL="0" distR="0" wp14:anchorId="6269CFBA" wp14:editId="1052FDF2">
            <wp:extent cx="6502400" cy="4686300"/>
            <wp:effectExtent l="1905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736C58" w:rsidRDefault="00736C58">
      <w:pPr>
        <w:rPr>
          <w:lang w:val="uk-UA"/>
        </w:rPr>
      </w:pPr>
    </w:p>
    <w:p w:rsidR="00736C58" w:rsidRPr="00736C58" w:rsidRDefault="00736C58">
      <w:pPr>
        <w:rPr>
          <w:lang w:val="uk-UA"/>
        </w:rPr>
      </w:pPr>
      <w:r>
        <w:rPr>
          <w:noProof/>
          <w:lang w:eastAsia="ru-RU"/>
        </w:rPr>
        <w:drawing>
          <wp:inline distT="0" distB="0" distL="0" distR="0" wp14:anchorId="238612A5" wp14:editId="02260332">
            <wp:extent cx="6375400" cy="3987800"/>
            <wp:effectExtent l="0" t="0" r="6350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sectPr w:rsidR="00736C58" w:rsidRPr="00736C58" w:rsidSect="004E2D9F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D9F"/>
    <w:rsid w:val="00405736"/>
    <w:rsid w:val="004479D9"/>
    <w:rsid w:val="004E2D9F"/>
    <w:rsid w:val="00736C58"/>
    <w:rsid w:val="007B4113"/>
    <w:rsid w:val="00A45E3B"/>
    <w:rsid w:val="00CC187E"/>
    <w:rsid w:val="00CD64B1"/>
    <w:rsid w:val="00CE29AE"/>
    <w:rsid w:val="00E9311F"/>
    <w:rsid w:val="00F01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2D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2D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2D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2D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40;&#1085;&#1072;&#1083;&#1110;&#1079;&#1042;&#1080;&#1076;&#1072;&#1090;&#1082;&#1110;&#1074;\&#1044;&#1110;&#1072;&#1075;&#1088;&#1072;&#1084;&#1080;\&#1044;&#1110;&#1072;&#1075;&#1088;&#1050;&#1088;&#1091;&#1075;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600"/>
            </a:pPr>
            <a:r>
              <a:rPr lang="ru-RU" sz="1600" b="1" i="0" baseline="0">
                <a:effectLst/>
              </a:rPr>
              <a:t>Питома вага видатків бюджету м.Вараш на 2019 рік </a:t>
            </a:r>
            <a:endParaRPr lang="ru-RU" sz="1600">
              <a:effectLst/>
            </a:endParaRPr>
          </a:p>
          <a:p>
            <a:pPr>
              <a:defRPr sz="1600"/>
            </a:pPr>
            <a:r>
              <a:rPr lang="ru-RU" sz="1600" b="1" i="1" baseline="0">
                <a:effectLst/>
              </a:rPr>
              <a:t>в розрізі головних розпорядників бюджетних коштів</a:t>
            </a:r>
            <a:endParaRPr lang="ru-RU" sz="1600">
              <a:effectLst/>
            </a:endParaRPr>
          </a:p>
        </c:rich>
      </c:tx>
      <c:layout>
        <c:manualLayout>
          <c:xMode val="edge"/>
          <c:yMode val="edge"/>
          <c:x val="0.12027266855314961"/>
          <c:y val="2.1750634829182922E-3"/>
        </c:manualLayout>
      </c:layout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1.7159957040860499E-2"/>
          <c:y val="0.12289432998957323"/>
          <c:w val="0.63908487169792716"/>
          <c:h val="0.87710575022743675"/>
        </c:manualLayout>
      </c:layout>
      <c:pie3DChart>
        <c:varyColors val="1"/>
        <c:ser>
          <c:idx val="0"/>
          <c:order val="0"/>
          <c:explosion val="28"/>
          <c:dPt>
            <c:idx val="6"/>
            <c:bubble3D val="0"/>
            <c:spPr>
              <a:solidFill>
                <a:srgbClr val="FF0000"/>
              </a:solidFill>
            </c:spPr>
          </c:dPt>
          <c:dLbls>
            <c:dLbl>
              <c:idx val="0"/>
              <c:layout>
                <c:manualLayout>
                  <c:x val="-0.10013411032389219"/>
                  <c:y val="-3.1115355630051193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  млн.грн;   </c:separator>
            </c:dLbl>
            <c:dLbl>
              <c:idx val="1"/>
              <c:layout>
                <c:manualLayout>
                  <c:x val="-0.20315590770360387"/>
                  <c:y val="-0.13975171420404134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  млн.грн;   </c:separator>
            </c:dLbl>
            <c:dLbl>
              <c:idx val="2"/>
              <c:layout>
                <c:manualLayout>
                  <c:x val="3.8274182324286705E-2"/>
                  <c:y val="4.586586330174075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  млн.грн;   </c:separator>
            </c:dLbl>
            <c:dLbl>
              <c:idx val="3"/>
              <c:layout>
                <c:manualLayout>
                  <c:x val="3.4157173463964186E-2"/>
                  <c:y val="-7.948969250130862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  млн.грн;   </c:separator>
            </c:dLbl>
            <c:dLbl>
              <c:idx val="4"/>
              <c:layout>
                <c:manualLayout>
                  <c:x val="2.7430972224505339E-2"/>
                  <c:y val="-5.8953163723060517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6,6  млн.грн; 1%</a:t>
                    </a:r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  млн.грн;   </c:separator>
            </c:dLbl>
            <c:dLbl>
              <c:idx val="5"/>
              <c:layout>
                <c:manualLayout>
                  <c:x val="0.13711543307086616"/>
                  <c:y val="-5.637752597998421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  млн.грн;   </c:separator>
            </c:dLbl>
            <c:dLbl>
              <c:idx val="6"/>
              <c:layout>
                <c:manualLayout>
                  <c:x val="4.2005298659170735E-2"/>
                  <c:y val="5.8790385265586824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  млн.грн;   </c:separator>
            </c:dLbl>
            <c:txPr>
              <a:bodyPr/>
              <a:lstStyle/>
              <a:p>
                <a:pPr>
                  <a:defRPr sz="1200" b="1" baseline="0"/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1"/>
            <c:showBubbleSize val="0"/>
            <c:separator>  млн.грн;   </c:separator>
            <c:showLeaderLines val="1"/>
          </c:dLbls>
          <c:cat>
            <c:strRef>
              <c:f>Розпор!$A$2:$A$7</c:f>
              <c:strCache>
                <c:ptCount val="6"/>
                <c:pt idx="0">
                  <c:v>Управління праці та соцзахисту населення - 92,4 млн.грн</c:v>
                </c:pt>
                <c:pt idx="1">
                  <c:v>Управління освіти - 224,5 млн.грн</c:v>
                </c:pt>
                <c:pt idx="2">
                  <c:v>Відділ культури та туризму - 15,5 млн.грн</c:v>
                </c:pt>
                <c:pt idx="3">
                  <c:v>Виконавчий комітет - 151,4 млн.грн</c:v>
                </c:pt>
                <c:pt idx="4">
                  <c:v>Управління містодування, архітектури та капітального будівництва - 6,6 млн.грн</c:v>
                </c:pt>
                <c:pt idx="5">
                  <c:v>Фінансове управління - 61,8 млн.грн</c:v>
                </c:pt>
              </c:strCache>
            </c:strRef>
          </c:cat>
          <c:val>
            <c:numRef>
              <c:f>Розпор!$B$2:$B$7</c:f>
              <c:numCache>
                <c:formatCode>General</c:formatCode>
                <c:ptCount val="6"/>
                <c:pt idx="0">
                  <c:v>92.4</c:v>
                </c:pt>
                <c:pt idx="1">
                  <c:v>224.5</c:v>
                </c:pt>
                <c:pt idx="2" formatCode="0.0">
                  <c:v>15.5</c:v>
                </c:pt>
                <c:pt idx="3">
                  <c:v>151.4</c:v>
                </c:pt>
                <c:pt idx="4">
                  <c:v>6.6</c:v>
                </c:pt>
                <c:pt idx="5">
                  <c:v>61.8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layout>
        <c:manualLayout>
          <c:xMode val="edge"/>
          <c:yMode val="edge"/>
          <c:x val="0.65607812536946397"/>
          <c:y val="0.3180139982502187"/>
          <c:w val="0.33183003742486261"/>
          <c:h val="0.56671873332906553"/>
        </c:manualLayout>
      </c:layout>
      <c:overlay val="0"/>
      <c:txPr>
        <a:bodyPr/>
        <a:lstStyle/>
        <a:p>
          <a:pPr rtl="0">
            <a:defRPr/>
          </a:pPr>
          <a:endParaRPr lang="ru-RU"/>
        </a:p>
      </c:txPr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600"/>
            </a:pPr>
            <a:r>
              <a:rPr lang="ru-RU" sz="1600"/>
              <a:t>Питома вага видатків бюджету м.Вараш на 2019 рік </a:t>
            </a:r>
          </a:p>
          <a:p>
            <a:pPr>
              <a:defRPr sz="1600"/>
            </a:pPr>
            <a:r>
              <a:rPr lang="ru-RU" sz="1600" i="1"/>
              <a:t>по виконавчому комітету Вараської</a:t>
            </a:r>
            <a:r>
              <a:rPr lang="ru-RU" sz="1600" i="1" baseline="0"/>
              <a:t> міської ради</a:t>
            </a:r>
            <a:endParaRPr lang="ru-RU" sz="1600" i="1"/>
          </a:p>
        </c:rich>
      </c:tx>
      <c:layout>
        <c:manualLayout>
          <c:xMode val="edge"/>
          <c:yMode val="edge"/>
          <c:x val="0.11876714962199232"/>
          <c:y val="1.0584783589949298E-3"/>
        </c:manualLayout>
      </c:layout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6.5872592197161794E-2"/>
          <c:y val="0.30424283519920292"/>
          <c:w val="0.49816629132214424"/>
          <c:h val="0.69534501289272055"/>
        </c:manualLayout>
      </c:layout>
      <c:pie3DChart>
        <c:varyColors val="1"/>
        <c:ser>
          <c:idx val="0"/>
          <c:order val="0"/>
          <c:explosion val="25"/>
          <c:dPt>
            <c:idx val="0"/>
            <c:bubble3D val="0"/>
            <c:spPr>
              <a:solidFill>
                <a:schemeClr val="accent5">
                  <a:lumMod val="60000"/>
                  <a:lumOff val="40000"/>
                </a:schemeClr>
              </a:solidFill>
            </c:spPr>
          </c:dPt>
          <c:dPt>
            <c:idx val="1"/>
            <c:bubble3D val="0"/>
            <c:spPr>
              <a:gradFill>
                <a:gsLst>
                  <a:gs pos="0">
                    <a:srgbClr val="DDEBCF"/>
                  </a:gs>
                  <a:gs pos="50000">
                    <a:srgbClr val="9CB86E"/>
                  </a:gs>
                  <a:gs pos="100000">
                    <a:srgbClr val="156B13"/>
                  </a:gs>
                </a:gsLst>
                <a:lin ang="5400000" scaled="0"/>
              </a:gradFill>
            </c:spPr>
          </c:dPt>
          <c:dPt>
            <c:idx val="2"/>
            <c:bubble3D val="0"/>
            <c:spPr>
              <a:solidFill>
                <a:schemeClr val="accent6">
                  <a:lumMod val="60000"/>
                  <a:lumOff val="40000"/>
                </a:schemeClr>
              </a:solidFill>
            </c:spPr>
          </c:dPt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ru-RU"/>
                      <a:t>72,5 млн.грн; 48%</a:t>
                    </a:r>
                  </a:p>
                </c:rich>
              </c:tx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separator> млн.грн;   </c:separator>
            </c:dLbl>
            <c:dLbl>
              <c:idx val="1"/>
              <c:layout>
                <c:manualLayout>
                  <c:x val="0.10509847463900167"/>
                  <c:y val="-0.15716674357104227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39,4 млн.грн; 26%</a:t>
                    </a:r>
                  </a:p>
                </c:rich>
              </c:tx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separator> млн.грн;   </c:separator>
            </c:dLbl>
            <c:dLbl>
              <c:idx val="2"/>
              <c:layout>
                <c:manualLayout>
                  <c:x val="6.8922923924068152E-2"/>
                  <c:y val="-6.6343172131838907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39,5 млн.грн; 26%</a:t>
                    </a:r>
                  </a:p>
                </c:rich>
              </c:tx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separator> млн.грн;   </c:separator>
            </c:dLbl>
            <c:txPr>
              <a:bodyPr/>
              <a:lstStyle/>
              <a:p>
                <a:pPr>
                  <a:defRPr sz="1200" b="1" baseline="0"/>
                </a:pPr>
                <a:endParaRPr lang="ru-RU"/>
              </a:p>
            </c:txPr>
            <c:dLblPos val="ctr"/>
            <c:showLegendKey val="0"/>
            <c:showVal val="0"/>
            <c:showCatName val="1"/>
            <c:showSerName val="0"/>
            <c:showPercent val="1"/>
            <c:showBubbleSize val="0"/>
            <c:separator> млн.грн;   </c:separator>
            <c:showLeaderLines val="1"/>
          </c:dLbls>
          <c:cat>
            <c:strRef>
              <c:f>Виконком!$A$2:$A$4</c:f>
              <c:strCache>
                <c:ptCount val="3"/>
                <c:pt idx="0">
                  <c:v>Охорона здоров'я - 72,5 млн.грн</c:v>
                </c:pt>
                <c:pt idx="1">
                  <c:v>ЖКГ, утримання доріг - 39,4 млн.грн</c:v>
                </c:pt>
                <c:pt idx="2">
                  <c:v>Інші видатки - 39,5 млн.грн</c:v>
                </c:pt>
              </c:strCache>
            </c:strRef>
          </c:cat>
          <c:val>
            <c:numRef>
              <c:f>Виконком!$B$2:$B$4</c:f>
              <c:numCache>
                <c:formatCode>General</c:formatCode>
                <c:ptCount val="3"/>
                <c:pt idx="0">
                  <c:v>72.5</c:v>
                </c:pt>
                <c:pt idx="1">
                  <c:v>39.4</c:v>
                </c:pt>
                <c:pt idx="2">
                  <c:v>39.5</c:v>
                </c:pt>
              </c:numCache>
            </c:numRef>
          </c:val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layout>
        <c:manualLayout>
          <c:xMode val="edge"/>
          <c:yMode val="edge"/>
          <c:x val="0.60231106741366691"/>
          <c:y val="0.3225338924022898"/>
          <c:w val="0.33688440990086144"/>
          <c:h val="0.46800506483262527"/>
        </c:manualLayout>
      </c:layout>
      <c:overlay val="0"/>
      <c:txPr>
        <a:bodyPr/>
        <a:lstStyle/>
        <a:p>
          <a:pPr rtl="0">
            <a:defRPr/>
          </a:pPr>
          <a:endParaRPr lang="ru-RU"/>
        </a:p>
      </c:txPr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cp:lastPrinted>2018-12-18T08:55:00Z</cp:lastPrinted>
  <dcterms:created xsi:type="dcterms:W3CDTF">2018-12-21T10:47:00Z</dcterms:created>
  <dcterms:modified xsi:type="dcterms:W3CDTF">2018-12-21T10:47:00Z</dcterms:modified>
</cp:coreProperties>
</file>