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249B" w14:textId="77777777" w:rsidR="00056F6D" w:rsidRPr="00BD1E19" w:rsidRDefault="00000000">
      <w:pPr>
        <w:pStyle w:val="20"/>
        <w:rPr>
          <w:sz w:val="26"/>
          <w:szCs w:val="26"/>
        </w:rPr>
      </w:pPr>
      <w:r w:rsidRPr="00BD1E19">
        <w:rPr>
          <w:i w:val="0"/>
          <w:iCs w:val="0"/>
          <w:sz w:val="26"/>
          <w:szCs w:val="26"/>
        </w:rPr>
        <w:t>Верховна Рада України</w:t>
      </w:r>
    </w:p>
    <w:p w14:paraId="159ABCDF" w14:textId="77777777" w:rsidR="00BD1E19" w:rsidRDefault="00000000" w:rsidP="00BD1E19">
      <w:pPr>
        <w:pStyle w:val="20"/>
        <w:ind w:left="4258"/>
        <w:contextualSpacing/>
        <w:rPr>
          <w:sz w:val="26"/>
          <w:szCs w:val="26"/>
        </w:rPr>
      </w:pPr>
      <w:r w:rsidRPr="00BD1E19">
        <w:rPr>
          <w:sz w:val="26"/>
          <w:szCs w:val="26"/>
        </w:rPr>
        <w:t xml:space="preserve">01008, вулиця Михайла Грушевського, 5, </w:t>
      </w:r>
    </w:p>
    <w:p w14:paraId="07352AB3" w14:textId="3A9F80A5" w:rsidR="00056F6D" w:rsidRDefault="00000000" w:rsidP="00BD1E19">
      <w:pPr>
        <w:pStyle w:val="20"/>
        <w:ind w:left="4258"/>
        <w:contextualSpacing/>
        <w:rPr>
          <w:sz w:val="26"/>
          <w:szCs w:val="26"/>
        </w:rPr>
      </w:pPr>
      <w:r w:rsidRPr="00BD1E19">
        <w:rPr>
          <w:sz w:val="26"/>
          <w:szCs w:val="26"/>
        </w:rPr>
        <w:t xml:space="preserve">м. Київ, </w:t>
      </w:r>
      <w:r w:rsidR="00BD1E19">
        <w:rPr>
          <w:sz w:val="26"/>
          <w:szCs w:val="26"/>
        </w:rPr>
        <w:t>Україна</w:t>
      </w:r>
    </w:p>
    <w:p w14:paraId="35A82FE0" w14:textId="77777777" w:rsidR="00BD1E19" w:rsidRPr="00BD1E19" w:rsidRDefault="00BD1E19" w:rsidP="00BD1E19">
      <w:pPr>
        <w:pStyle w:val="20"/>
        <w:ind w:left="4258"/>
        <w:contextualSpacing/>
        <w:rPr>
          <w:sz w:val="26"/>
          <w:szCs w:val="26"/>
        </w:rPr>
      </w:pPr>
    </w:p>
    <w:p w14:paraId="1DB3C715" w14:textId="77777777" w:rsidR="00056F6D" w:rsidRPr="00BD1E19" w:rsidRDefault="00000000">
      <w:pPr>
        <w:pStyle w:val="20"/>
        <w:rPr>
          <w:sz w:val="26"/>
          <w:szCs w:val="26"/>
        </w:rPr>
      </w:pPr>
      <w:r w:rsidRPr="00BD1E19">
        <w:rPr>
          <w:i w:val="0"/>
          <w:iCs w:val="0"/>
          <w:sz w:val="26"/>
          <w:szCs w:val="26"/>
        </w:rPr>
        <w:t>Кабінет Міністрів України</w:t>
      </w:r>
    </w:p>
    <w:p w14:paraId="550E0970" w14:textId="77777777" w:rsidR="00BD1E19" w:rsidRDefault="00000000" w:rsidP="00BD1E19">
      <w:pPr>
        <w:pStyle w:val="20"/>
        <w:ind w:left="4258"/>
        <w:contextualSpacing/>
        <w:rPr>
          <w:sz w:val="26"/>
          <w:szCs w:val="26"/>
        </w:rPr>
      </w:pPr>
      <w:r w:rsidRPr="00BD1E19">
        <w:rPr>
          <w:sz w:val="26"/>
          <w:szCs w:val="26"/>
        </w:rPr>
        <w:t xml:space="preserve">01008, вул. Михайла Грушевського, 12/2, </w:t>
      </w:r>
    </w:p>
    <w:p w14:paraId="14E930FF" w14:textId="618AE1AA" w:rsidR="00056F6D" w:rsidRDefault="00000000" w:rsidP="00BD1E19">
      <w:pPr>
        <w:pStyle w:val="20"/>
        <w:ind w:left="4258"/>
        <w:contextualSpacing/>
        <w:rPr>
          <w:sz w:val="26"/>
          <w:szCs w:val="26"/>
        </w:rPr>
      </w:pPr>
      <w:r w:rsidRPr="00BD1E19">
        <w:rPr>
          <w:sz w:val="26"/>
          <w:szCs w:val="26"/>
        </w:rPr>
        <w:t xml:space="preserve">м. Київ, </w:t>
      </w:r>
      <w:r w:rsidR="005B7123">
        <w:rPr>
          <w:sz w:val="26"/>
          <w:szCs w:val="26"/>
        </w:rPr>
        <w:t>Україна</w:t>
      </w:r>
    </w:p>
    <w:p w14:paraId="31DB707E" w14:textId="77777777" w:rsidR="005B7123" w:rsidRPr="00BD1E19" w:rsidRDefault="005B7123" w:rsidP="00BD1E19">
      <w:pPr>
        <w:pStyle w:val="20"/>
        <w:ind w:left="4258"/>
        <w:contextualSpacing/>
        <w:rPr>
          <w:sz w:val="26"/>
          <w:szCs w:val="26"/>
        </w:rPr>
      </w:pPr>
    </w:p>
    <w:p w14:paraId="51095B3C" w14:textId="77777777" w:rsidR="00056F6D" w:rsidRPr="00BD1E19" w:rsidRDefault="00000000">
      <w:pPr>
        <w:pStyle w:val="20"/>
        <w:rPr>
          <w:sz w:val="26"/>
          <w:szCs w:val="26"/>
        </w:rPr>
      </w:pPr>
      <w:r w:rsidRPr="00BD1E19">
        <w:rPr>
          <w:i w:val="0"/>
          <w:iCs w:val="0"/>
          <w:sz w:val="26"/>
          <w:szCs w:val="26"/>
        </w:rPr>
        <w:t>Міністерство захисту довкілля та природних ресурсів</w:t>
      </w:r>
    </w:p>
    <w:p w14:paraId="2076EB01" w14:textId="27D215A6" w:rsidR="00056F6D" w:rsidRDefault="00000000" w:rsidP="00BD1E19">
      <w:pPr>
        <w:pStyle w:val="20"/>
        <w:spacing w:line="240" w:lineRule="auto"/>
        <w:rPr>
          <w:sz w:val="26"/>
          <w:szCs w:val="26"/>
        </w:rPr>
      </w:pPr>
      <w:r w:rsidRPr="00BD1E19">
        <w:rPr>
          <w:sz w:val="26"/>
          <w:szCs w:val="26"/>
        </w:rPr>
        <w:t>3035, вулиця Митрополита Василя Липківського, 35</w:t>
      </w:r>
      <w:r w:rsidR="00BD1E19">
        <w:rPr>
          <w:sz w:val="26"/>
          <w:szCs w:val="26"/>
        </w:rPr>
        <w:t xml:space="preserve"> </w:t>
      </w:r>
      <w:r w:rsidRPr="00BD1E19">
        <w:rPr>
          <w:sz w:val="26"/>
          <w:szCs w:val="26"/>
        </w:rPr>
        <w:t xml:space="preserve">м. Київ, </w:t>
      </w:r>
      <w:r w:rsidR="00BD1E19">
        <w:rPr>
          <w:sz w:val="26"/>
          <w:szCs w:val="26"/>
        </w:rPr>
        <w:t>Україна</w:t>
      </w:r>
    </w:p>
    <w:p w14:paraId="22B3810E" w14:textId="77777777" w:rsidR="00BD1E19" w:rsidRPr="00BD1E19" w:rsidRDefault="00BD1E19" w:rsidP="00BD1E19">
      <w:pPr>
        <w:pStyle w:val="20"/>
        <w:spacing w:line="240" w:lineRule="auto"/>
        <w:rPr>
          <w:sz w:val="26"/>
          <w:szCs w:val="26"/>
        </w:rPr>
      </w:pPr>
    </w:p>
    <w:p w14:paraId="0D225936" w14:textId="77777777" w:rsidR="00056F6D" w:rsidRPr="00BD1E19" w:rsidRDefault="00000000">
      <w:pPr>
        <w:pStyle w:val="20"/>
        <w:rPr>
          <w:sz w:val="26"/>
          <w:szCs w:val="26"/>
        </w:rPr>
      </w:pPr>
      <w:r w:rsidRPr="00BD1E19">
        <w:rPr>
          <w:i w:val="0"/>
          <w:iCs w:val="0"/>
          <w:sz w:val="26"/>
          <w:szCs w:val="26"/>
        </w:rPr>
        <w:t>Рівненська обласна державна адміністрація</w:t>
      </w:r>
    </w:p>
    <w:p w14:paraId="79C529E8" w14:textId="77777777" w:rsidR="00056F6D" w:rsidRPr="00BD1E19" w:rsidRDefault="00000000">
      <w:pPr>
        <w:pStyle w:val="20"/>
        <w:spacing w:after="280"/>
        <w:rPr>
          <w:sz w:val="26"/>
          <w:szCs w:val="26"/>
        </w:rPr>
      </w:pPr>
      <w:r w:rsidRPr="00BD1E19">
        <w:rPr>
          <w:sz w:val="26"/>
          <w:szCs w:val="26"/>
        </w:rPr>
        <w:t>33028, майдан Просвіти, 1, м. Рівне, Україна</w:t>
      </w:r>
    </w:p>
    <w:p w14:paraId="1BE59974" w14:textId="77777777" w:rsidR="00056F6D" w:rsidRPr="00BD1E19" w:rsidRDefault="00000000">
      <w:pPr>
        <w:pStyle w:val="20"/>
        <w:rPr>
          <w:sz w:val="26"/>
          <w:szCs w:val="26"/>
        </w:rPr>
      </w:pPr>
      <w:r w:rsidRPr="00BD1E19">
        <w:rPr>
          <w:i w:val="0"/>
          <w:iCs w:val="0"/>
          <w:sz w:val="26"/>
          <w:szCs w:val="26"/>
        </w:rPr>
        <w:t>Рівненська обласна рада</w:t>
      </w:r>
    </w:p>
    <w:p w14:paraId="523CA778" w14:textId="77777777" w:rsidR="00056F6D" w:rsidRPr="00BD1E19" w:rsidRDefault="00000000">
      <w:pPr>
        <w:pStyle w:val="20"/>
        <w:spacing w:after="280"/>
        <w:rPr>
          <w:sz w:val="26"/>
          <w:szCs w:val="26"/>
        </w:rPr>
      </w:pPr>
      <w:r w:rsidRPr="00BD1E19">
        <w:rPr>
          <w:sz w:val="26"/>
          <w:szCs w:val="26"/>
        </w:rPr>
        <w:t>33013, майдан Просвіти, 1, м. Рівне, Україна</w:t>
      </w:r>
    </w:p>
    <w:p w14:paraId="7BF18680" w14:textId="77777777" w:rsidR="00056F6D" w:rsidRPr="00BD1E19" w:rsidRDefault="00000000">
      <w:pPr>
        <w:pStyle w:val="20"/>
        <w:rPr>
          <w:sz w:val="26"/>
          <w:szCs w:val="26"/>
        </w:rPr>
      </w:pPr>
      <w:r w:rsidRPr="00BD1E19">
        <w:rPr>
          <w:i w:val="0"/>
          <w:iCs w:val="0"/>
          <w:sz w:val="26"/>
          <w:szCs w:val="26"/>
        </w:rPr>
        <w:t>Рівненська обласна прокуратура</w:t>
      </w:r>
    </w:p>
    <w:p w14:paraId="7BC1C984" w14:textId="77777777" w:rsidR="00056F6D" w:rsidRPr="00BD1E19" w:rsidRDefault="00000000">
      <w:pPr>
        <w:pStyle w:val="20"/>
        <w:spacing w:after="280"/>
        <w:rPr>
          <w:sz w:val="26"/>
          <w:szCs w:val="26"/>
        </w:rPr>
      </w:pPr>
      <w:r w:rsidRPr="00BD1E19">
        <w:rPr>
          <w:sz w:val="26"/>
          <w:szCs w:val="26"/>
        </w:rPr>
        <w:t>33028, м. Рівне, вул. 16 Липня, 52, Україна</w:t>
      </w:r>
    </w:p>
    <w:p w14:paraId="545CD83E" w14:textId="77777777" w:rsidR="00056F6D" w:rsidRPr="00BD1E19" w:rsidRDefault="00000000">
      <w:pPr>
        <w:pStyle w:val="20"/>
        <w:spacing w:line="254" w:lineRule="auto"/>
        <w:rPr>
          <w:sz w:val="26"/>
          <w:szCs w:val="26"/>
        </w:rPr>
      </w:pPr>
      <w:r w:rsidRPr="00BD1E19">
        <w:rPr>
          <w:i w:val="0"/>
          <w:iCs w:val="0"/>
          <w:sz w:val="26"/>
          <w:szCs w:val="26"/>
        </w:rPr>
        <w:t>Головне управління Національної поліції в Рівненській області</w:t>
      </w:r>
    </w:p>
    <w:p w14:paraId="08E0B624" w14:textId="77777777" w:rsidR="00056F6D" w:rsidRPr="00BD1E19" w:rsidRDefault="00000000">
      <w:pPr>
        <w:pStyle w:val="20"/>
        <w:spacing w:after="540" w:line="254" w:lineRule="auto"/>
        <w:rPr>
          <w:sz w:val="26"/>
          <w:szCs w:val="26"/>
        </w:rPr>
      </w:pPr>
      <w:r w:rsidRPr="00BD1E19">
        <w:rPr>
          <w:sz w:val="26"/>
          <w:szCs w:val="26"/>
        </w:rPr>
        <w:t>33000, вул. Хвильового, 2, м. Рівне, Україна</w:t>
      </w:r>
    </w:p>
    <w:p w14:paraId="2FB840F8" w14:textId="77777777" w:rsidR="00056F6D" w:rsidRPr="00BD1E19" w:rsidRDefault="00000000">
      <w:pPr>
        <w:pStyle w:val="20"/>
        <w:ind w:left="0"/>
        <w:rPr>
          <w:sz w:val="28"/>
          <w:szCs w:val="28"/>
        </w:rPr>
      </w:pPr>
      <w:r w:rsidRPr="00BD1E19">
        <w:rPr>
          <w:i w:val="0"/>
          <w:iCs w:val="0"/>
          <w:sz w:val="28"/>
          <w:szCs w:val="28"/>
        </w:rPr>
        <w:t>Щодо збереження природних комплексів</w:t>
      </w:r>
    </w:p>
    <w:p w14:paraId="4AA14548" w14:textId="77777777" w:rsidR="00056F6D" w:rsidRPr="00BD1E19" w:rsidRDefault="00000000">
      <w:pPr>
        <w:pStyle w:val="20"/>
        <w:spacing w:after="640"/>
        <w:ind w:left="0"/>
        <w:jc w:val="both"/>
        <w:rPr>
          <w:sz w:val="28"/>
          <w:szCs w:val="28"/>
        </w:rPr>
      </w:pPr>
      <w:r w:rsidRPr="00BD1E19">
        <w:rPr>
          <w:i w:val="0"/>
          <w:iCs w:val="0"/>
          <w:sz w:val="28"/>
          <w:szCs w:val="28"/>
        </w:rPr>
        <w:t xml:space="preserve">на території </w:t>
      </w:r>
      <w:proofErr w:type="spellStart"/>
      <w:r w:rsidRPr="00BD1E19">
        <w:rPr>
          <w:i w:val="0"/>
          <w:iCs w:val="0"/>
          <w:sz w:val="28"/>
          <w:szCs w:val="28"/>
        </w:rPr>
        <w:t>Вараської</w:t>
      </w:r>
      <w:proofErr w:type="spellEnd"/>
      <w:r w:rsidRPr="00BD1E19">
        <w:rPr>
          <w:i w:val="0"/>
          <w:iCs w:val="0"/>
          <w:sz w:val="28"/>
          <w:szCs w:val="28"/>
        </w:rPr>
        <w:t xml:space="preserve"> МТГ</w:t>
      </w:r>
    </w:p>
    <w:p w14:paraId="27EBB72C" w14:textId="77777777" w:rsidR="00056F6D" w:rsidRPr="00BD1E19" w:rsidRDefault="00000000">
      <w:pPr>
        <w:pStyle w:val="a4"/>
        <w:ind w:firstLine="700"/>
        <w:jc w:val="both"/>
        <w:rPr>
          <w:sz w:val="28"/>
          <w:szCs w:val="28"/>
        </w:rPr>
      </w:pPr>
      <w:r w:rsidRPr="00BD1E19">
        <w:rPr>
          <w:sz w:val="28"/>
          <w:szCs w:val="28"/>
        </w:rPr>
        <w:t>На органи місцевого самоврядування покладені визначені повноваження щодо охорони навколишнього природного середовища, зокрема Законом України «Про місцеве самоврядування в Україні», «Про охорону навколишнього природного середовища», Земельним Кодексом України, Кодексом України про надра, Водним Кодексом України, Лісовим кодексом України та ще низкою нормативно-правових актів.</w:t>
      </w:r>
    </w:p>
    <w:p w14:paraId="18DEC890" w14:textId="77777777" w:rsidR="00056F6D" w:rsidRPr="00BD1E19" w:rsidRDefault="00000000">
      <w:pPr>
        <w:pStyle w:val="a4"/>
        <w:ind w:firstLine="700"/>
        <w:jc w:val="both"/>
        <w:rPr>
          <w:sz w:val="28"/>
          <w:szCs w:val="28"/>
        </w:rPr>
      </w:pPr>
      <w:r w:rsidRPr="00BD1E19">
        <w:rPr>
          <w:sz w:val="28"/>
          <w:szCs w:val="28"/>
        </w:rPr>
        <w:t xml:space="preserve">Рішенням Рівненської обласної ради восьмого скликання №411 від 12.11.2021 затверджено проект землеустрою щодо відведення земельної ділянки площею 0,2050 гектара (кадастровий номер 5620881200:06:067:0131) у власність шляхом викупу громадянину </w:t>
      </w:r>
      <w:proofErr w:type="spellStart"/>
      <w:r w:rsidRPr="00BD1E19">
        <w:rPr>
          <w:sz w:val="28"/>
          <w:szCs w:val="28"/>
        </w:rPr>
        <w:t>Росошику</w:t>
      </w:r>
      <w:proofErr w:type="spellEnd"/>
      <w:r w:rsidRPr="00BD1E19">
        <w:rPr>
          <w:sz w:val="28"/>
          <w:szCs w:val="28"/>
        </w:rPr>
        <w:t xml:space="preserve"> В’ячеславу Васильовичу</w:t>
      </w:r>
      <w:r w:rsidRPr="00BD1E19">
        <w:rPr>
          <w:sz w:val="28"/>
          <w:szCs w:val="28"/>
        </w:rPr>
        <w:br w:type="page"/>
      </w:r>
      <w:r w:rsidRPr="00BD1E19">
        <w:rPr>
          <w:sz w:val="28"/>
          <w:szCs w:val="28"/>
        </w:rPr>
        <w:lastRenderedPageBreak/>
        <w:t xml:space="preserve">для будівництва та обслуговування об’єктів рекреаційного призначення, за рахунок земель та, відповідно, прийняте рішення про продаж у власність громадянину </w:t>
      </w:r>
      <w:proofErr w:type="spellStart"/>
      <w:r w:rsidRPr="00BD1E19">
        <w:rPr>
          <w:sz w:val="28"/>
          <w:szCs w:val="28"/>
        </w:rPr>
        <w:t>Росошику</w:t>
      </w:r>
      <w:proofErr w:type="spellEnd"/>
      <w:r w:rsidRPr="00BD1E19">
        <w:rPr>
          <w:sz w:val="28"/>
          <w:szCs w:val="28"/>
        </w:rPr>
        <w:t xml:space="preserve"> В.В. вказаної земельної ділянки за 148 573,00 (сто сорок вісім тисяч п’ятсот сімдесят три) гривні, що розташована на території </w:t>
      </w:r>
      <w:proofErr w:type="spellStart"/>
      <w:r w:rsidRPr="00BD1E19">
        <w:rPr>
          <w:sz w:val="28"/>
          <w:szCs w:val="28"/>
        </w:rPr>
        <w:t>Вараського</w:t>
      </w:r>
      <w:proofErr w:type="spellEnd"/>
      <w:r w:rsidRPr="00BD1E19">
        <w:rPr>
          <w:sz w:val="28"/>
          <w:szCs w:val="28"/>
        </w:rPr>
        <w:t xml:space="preserve"> району біля озера Біле Озеро, що, у свою чергу, є складовою Рівненського природного заповідника.</w:t>
      </w:r>
    </w:p>
    <w:p w14:paraId="35C0EAEB" w14:textId="77777777" w:rsidR="00056F6D" w:rsidRPr="00BD1E19" w:rsidRDefault="00000000">
      <w:pPr>
        <w:pStyle w:val="a4"/>
        <w:ind w:firstLine="700"/>
        <w:jc w:val="both"/>
        <w:rPr>
          <w:sz w:val="28"/>
          <w:szCs w:val="28"/>
        </w:rPr>
      </w:pPr>
      <w:r w:rsidRPr="00BD1E19">
        <w:rPr>
          <w:sz w:val="28"/>
          <w:szCs w:val="28"/>
        </w:rPr>
        <w:t xml:space="preserve">На черговій сесії </w:t>
      </w:r>
      <w:proofErr w:type="spellStart"/>
      <w:r w:rsidRPr="00BD1E19">
        <w:rPr>
          <w:sz w:val="28"/>
          <w:szCs w:val="28"/>
        </w:rPr>
        <w:t>Вараської</w:t>
      </w:r>
      <w:proofErr w:type="spellEnd"/>
      <w:r w:rsidRPr="00BD1E19">
        <w:rPr>
          <w:sz w:val="28"/>
          <w:szCs w:val="28"/>
        </w:rPr>
        <w:t xml:space="preserve"> міської ради депутати висловили крайню стурбованість з приводу такого рішення, порушивши питання допустимості продажу земельних ділянок у межах природно-заповідного фонду, аномально низької вартості такої земельної ділянки, зважаючи на вкрай вигідне її розташування.</w:t>
      </w:r>
    </w:p>
    <w:p w14:paraId="45011276" w14:textId="77777777" w:rsidR="00056F6D" w:rsidRPr="00BD1E19" w:rsidRDefault="00000000">
      <w:pPr>
        <w:pStyle w:val="a4"/>
        <w:ind w:firstLine="700"/>
        <w:jc w:val="both"/>
        <w:rPr>
          <w:sz w:val="28"/>
          <w:szCs w:val="28"/>
        </w:rPr>
      </w:pPr>
      <w:r w:rsidRPr="00BD1E19">
        <w:rPr>
          <w:sz w:val="28"/>
          <w:szCs w:val="28"/>
        </w:rPr>
        <w:t xml:space="preserve">Однак, на наше переконання, при вирішенні таких питань слід також враховувати потенційні ризики негативного антропогенного впливу на природні комплекси природно-заповідної зони та екосистеми водойми, що може бути викликане нецільовим використанням земельних ділянок, зайняття забороненими видами господарської діяльності і </w:t>
      </w:r>
      <w:proofErr w:type="spellStart"/>
      <w:r w:rsidRPr="00BD1E19">
        <w:rPr>
          <w:sz w:val="28"/>
          <w:szCs w:val="28"/>
        </w:rPr>
        <w:t>т.п</w:t>
      </w:r>
      <w:proofErr w:type="spellEnd"/>
      <w:r w:rsidRPr="00BD1E19">
        <w:rPr>
          <w:sz w:val="28"/>
          <w:szCs w:val="28"/>
        </w:rPr>
        <w:t>. Окрім цього, створюються передумови щодо протиправного перешкоджання населенню на вільний доступ до лісових масивів та водойм у даній ділянці місцевості.</w:t>
      </w:r>
    </w:p>
    <w:p w14:paraId="552E1195" w14:textId="77777777" w:rsidR="00056F6D" w:rsidRPr="00BD1E19" w:rsidRDefault="00000000">
      <w:pPr>
        <w:pStyle w:val="a4"/>
        <w:ind w:firstLine="700"/>
        <w:jc w:val="both"/>
        <w:rPr>
          <w:sz w:val="28"/>
          <w:szCs w:val="28"/>
        </w:rPr>
      </w:pPr>
      <w:r w:rsidRPr="00BD1E19">
        <w:rPr>
          <w:sz w:val="28"/>
          <w:szCs w:val="28"/>
        </w:rPr>
        <w:t xml:space="preserve">При цьому, незважаючи на те, що повноваження щодо проведення природоохоронних заходів у вказаній ділянці місцевості поширюються на різних суб’єктів (органи місцевого самоврядування, органи виконавчої влади, спеціалізовані підприємства, установи), екосистема оз. Біле озеро, прибережна смуга навколо даного озера, нероздільно пов’язані із природними ресурсами, які перебувають у віданні </w:t>
      </w:r>
      <w:proofErr w:type="spellStart"/>
      <w:r w:rsidRPr="00BD1E19">
        <w:rPr>
          <w:sz w:val="28"/>
          <w:szCs w:val="28"/>
        </w:rPr>
        <w:t>Вараської</w:t>
      </w:r>
      <w:proofErr w:type="spellEnd"/>
      <w:r w:rsidRPr="00BD1E19">
        <w:rPr>
          <w:sz w:val="28"/>
          <w:szCs w:val="28"/>
        </w:rPr>
        <w:t xml:space="preserve"> міської територіальної громади. Тому, вирішення порушуваних питань повинно відбуватись за участю та відома представників територіальної громади, депутатів місцевої ради уповноважених осіб виконавчих органів міської ради.</w:t>
      </w:r>
    </w:p>
    <w:p w14:paraId="63655D5D" w14:textId="0A3D78D5" w:rsidR="00056F6D" w:rsidRPr="00BD1E19" w:rsidRDefault="00000000">
      <w:pPr>
        <w:pStyle w:val="a4"/>
        <w:spacing w:after="640"/>
        <w:ind w:firstLine="700"/>
        <w:jc w:val="both"/>
        <w:rPr>
          <w:sz w:val="28"/>
          <w:szCs w:val="28"/>
        </w:rPr>
      </w:pPr>
      <w:r w:rsidRPr="00BD1E19">
        <w:rPr>
          <w:sz w:val="28"/>
          <w:szCs w:val="28"/>
        </w:rPr>
        <w:t xml:space="preserve">Враховуючи викладене, у разі погодження дозвільних процедур вказаного напрямку, у межах повноважень та компетенції, просимо забезпечити у майбутньому участь вказаних осіб при вирішенні аналогічних питань та максимально унеможливити безпідставне, </w:t>
      </w:r>
      <w:r w:rsidR="00BD1E19" w:rsidRPr="00BD1E19">
        <w:rPr>
          <w:sz w:val="28"/>
          <w:szCs w:val="28"/>
        </w:rPr>
        <w:t>необґрунтоване</w:t>
      </w:r>
      <w:r w:rsidRPr="00BD1E19">
        <w:rPr>
          <w:sz w:val="28"/>
          <w:szCs w:val="28"/>
        </w:rPr>
        <w:t xml:space="preserve"> відчуження земельних ділянок у вказаній місцевості, з метою максимального збереження та охорони унікальних природних комплексів Рівненського природного заповідника та прилеглих територій.</w:t>
      </w:r>
    </w:p>
    <w:p w14:paraId="6B53C01D" w14:textId="77777777" w:rsidR="00BD1E19" w:rsidRDefault="00000000">
      <w:pPr>
        <w:pStyle w:val="a4"/>
        <w:spacing w:line="259" w:lineRule="auto"/>
        <w:ind w:firstLine="700"/>
        <w:jc w:val="both"/>
        <w:rPr>
          <w:sz w:val="28"/>
          <w:szCs w:val="28"/>
        </w:rPr>
      </w:pPr>
      <w:r w:rsidRPr="00BD1E19">
        <w:rPr>
          <w:noProof/>
          <w:sz w:val="28"/>
          <w:szCs w:val="28"/>
        </w:rPr>
        <mc:AlternateContent>
          <mc:Choice Requires="wps">
            <w:drawing>
              <wp:anchor distT="0" distB="0" distL="114300" distR="114300" simplePos="0" relativeHeight="125829378" behindDoc="0" locked="0" layoutInCell="1" allowOverlap="1" wp14:anchorId="34674E18" wp14:editId="7A2BC8EE">
                <wp:simplePos x="0" y="0"/>
                <wp:positionH relativeFrom="page">
                  <wp:posOffset>5293360</wp:posOffset>
                </wp:positionH>
                <wp:positionV relativeFrom="paragraph">
                  <wp:posOffset>203200</wp:posOffset>
                </wp:positionV>
                <wp:extent cx="1624330" cy="21018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24330" cy="210185"/>
                        </a:xfrm>
                        <a:prstGeom prst="rect">
                          <a:avLst/>
                        </a:prstGeom>
                        <a:noFill/>
                      </wps:spPr>
                      <wps:txbx>
                        <w:txbxContent>
                          <w:p w14:paraId="33A6B766" w14:textId="77777777" w:rsidR="00056F6D" w:rsidRPr="00BD1E19" w:rsidRDefault="00000000">
                            <w:pPr>
                              <w:pStyle w:val="a4"/>
                              <w:spacing w:line="240" w:lineRule="auto"/>
                              <w:ind w:firstLine="0"/>
                              <w:rPr>
                                <w:sz w:val="28"/>
                                <w:szCs w:val="28"/>
                              </w:rPr>
                            </w:pPr>
                            <w:r w:rsidRPr="00BD1E19">
                              <w:rPr>
                                <w:sz w:val="28"/>
                                <w:szCs w:val="28"/>
                              </w:rPr>
                              <w:t>Олександр МЕНЗУЛ</w:t>
                            </w:r>
                          </w:p>
                        </w:txbxContent>
                      </wps:txbx>
                      <wps:bodyPr wrap="none" lIns="0" tIns="0" rIns="0" bIns="0"/>
                    </wps:wsp>
                  </a:graphicData>
                </a:graphic>
              </wp:anchor>
            </w:drawing>
          </mc:Choice>
          <mc:Fallback>
            <w:pict>
              <v:shapetype w14:anchorId="34674E18" id="_x0000_t202" coordsize="21600,21600" o:spt="202" path="m,l,21600r21600,l21600,xe">
                <v:stroke joinstyle="miter"/>
                <v:path gradientshapeok="t" o:connecttype="rect"/>
              </v:shapetype>
              <v:shape id="Shape 1" o:spid="_x0000_s1026" type="#_x0000_t202" style="position:absolute;left:0;text-align:left;margin-left:416.8pt;margin-top:16pt;width:127.9pt;height:16.5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ldQEAAOYCAAAOAAAAZHJzL2Uyb0RvYy54bWysUtFKwzAUfRf8h5B3l7bTIWXtQMZEEBWm&#10;H5CmyVpockMS1+7vvem6TfRNfLm5yU3OPfecLFeD7sheOt+CKWg6SyiRRkDdml1BP943N/eU+MBN&#10;zTswsqAH6emqvL5a9jaXGTTQ1dIRBDE+721BmxBszpgXjdTcz8BKg0UFTvOAW7djteM9ouuOZUmy&#10;YD242joQ0ns8XR+LtBzxlZIivCrlZSBdQZFbGKMbYxUjK5c83zlum1ZMNPgfWGjeGmx6hlrzwMmn&#10;a39B6VY48KDCTIBmoFQr5DgDTpMmP6bZNtzKcRYUx9uzTP7/YMXLfmvfHAnDAwxoYBSktz73eBjn&#10;GZTTcUWmBOso4eEsmxwCEfHRIrudz7EksJalSXp/F2HY5bV1PjxK0CQmBXVoy6gW3z/7cLx6uhKb&#10;Gdi0XRfPL1RiFoZqmPhVUB+Qdo/OFdTg16KkezIoTDT5lLhTUk3JCRLFHPlNxke3vu/HxpfvWX4B&#10;AAD//wMAUEsDBBQABgAIAAAAIQDLv1V93gAAAAoBAAAPAAAAZHJzL2Rvd25yZXYueG1sTI/BTsMw&#10;EETvSPyDtZW4UTsNRCHNpkIIjlRq4cLNibdJ2tiObKcNf497osfVPs28KTezHtiZnO+tQUiWAhiZ&#10;xqretAjfXx+POTAfpFFysIYQfsnDprq/K2Wh7MXs6LwPLYshxhcSoQthLDj3TUda+qUdycTfwTot&#10;Qzxdy5WTlxiuB74SIuNa9iY2dHKkt46a037SCIfP7en4Pu3EsRU5/SSO5jrZIj4s5tc1sEBz+Ifh&#10;qh/VoYpOtZ2M8mxAyNM0iyhCuoqbroDIX56A1QjZcwK8KvnthOoPAAD//wMAUEsBAi0AFAAGAAgA&#10;AAAhALaDOJL+AAAA4QEAABMAAAAAAAAAAAAAAAAAAAAAAFtDb250ZW50X1R5cGVzXS54bWxQSwEC&#10;LQAUAAYACAAAACEAOP0h/9YAAACUAQAACwAAAAAAAAAAAAAAAAAvAQAAX3JlbHMvLnJlbHNQSwEC&#10;LQAUAAYACAAAACEAhPvR5XUBAADmAgAADgAAAAAAAAAAAAAAAAAuAgAAZHJzL2Uyb0RvYy54bWxQ&#10;SwECLQAUAAYACAAAACEAy79Vfd4AAAAKAQAADwAAAAAAAAAAAAAAAADPAwAAZHJzL2Rvd25yZXYu&#10;eG1sUEsFBgAAAAAEAAQA8wAAANoEAAAAAA==&#10;" filled="f" stroked="f">
                <v:textbox inset="0,0,0,0">
                  <w:txbxContent>
                    <w:p w14:paraId="33A6B766" w14:textId="77777777" w:rsidR="00056F6D" w:rsidRPr="00BD1E19" w:rsidRDefault="00000000">
                      <w:pPr>
                        <w:pStyle w:val="a4"/>
                        <w:spacing w:line="240" w:lineRule="auto"/>
                        <w:ind w:firstLine="0"/>
                        <w:rPr>
                          <w:sz w:val="28"/>
                          <w:szCs w:val="28"/>
                        </w:rPr>
                      </w:pPr>
                      <w:r w:rsidRPr="00BD1E19">
                        <w:rPr>
                          <w:sz w:val="28"/>
                          <w:szCs w:val="28"/>
                        </w:rPr>
                        <w:t>Олександр МЕНЗУЛ</w:t>
                      </w:r>
                    </w:p>
                  </w:txbxContent>
                </v:textbox>
                <w10:wrap type="square" side="left" anchorx="page"/>
              </v:shape>
            </w:pict>
          </mc:Fallback>
        </mc:AlternateContent>
      </w:r>
      <w:r w:rsidRPr="00BD1E19">
        <w:rPr>
          <w:sz w:val="28"/>
          <w:szCs w:val="28"/>
        </w:rPr>
        <w:t xml:space="preserve">З повагою, </w:t>
      </w:r>
    </w:p>
    <w:p w14:paraId="42BBA9A1" w14:textId="1AE8AD79" w:rsidR="00056F6D" w:rsidRPr="00BD1E19" w:rsidRDefault="00000000">
      <w:pPr>
        <w:pStyle w:val="a4"/>
        <w:spacing w:line="259" w:lineRule="auto"/>
        <w:ind w:firstLine="700"/>
        <w:jc w:val="both"/>
        <w:rPr>
          <w:sz w:val="28"/>
          <w:szCs w:val="28"/>
        </w:rPr>
      </w:pPr>
      <w:r w:rsidRPr="00BD1E19">
        <w:rPr>
          <w:sz w:val="28"/>
          <w:szCs w:val="28"/>
        </w:rPr>
        <w:t>Міський голова</w:t>
      </w:r>
    </w:p>
    <w:sectPr w:rsidR="00056F6D" w:rsidRPr="00BD1E19" w:rsidSect="00AC03E6">
      <w:pgSz w:w="12240" w:h="15840"/>
      <w:pgMar w:top="801" w:right="851" w:bottom="1322" w:left="1560" w:header="373" w:footer="89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15AD" w14:textId="77777777" w:rsidR="00066DE9" w:rsidRDefault="00066DE9">
      <w:r>
        <w:separator/>
      </w:r>
    </w:p>
  </w:endnote>
  <w:endnote w:type="continuationSeparator" w:id="0">
    <w:p w14:paraId="519CA6F4" w14:textId="77777777" w:rsidR="00066DE9" w:rsidRDefault="0006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5E00" w14:textId="77777777" w:rsidR="00066DE9" w:rsidRDefault="00066DE9"/>
  </w:footnote>
  <w:footnote w:type="continuationSeparator" w:id="0">
    <w:p w14:paraId="52FD1688" w14:textId="77777777" w:rsidR="00066DE9" w:rsidRDefault="00066D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6D"/>
    <w:rsid w:val="00056F6D"/>
    <w:rsid w:val="00066DE9"/>
    <w:rsid w:val="005B7123"/>
    <w:rsid w:val="00AC03E6"/>
    <w:rsid w:val="00BD1E19"/>
    <w:rsid w:val="00D35B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603"/>
  <w15:docId w15:val="{D1159960-36AC-4065-B794-EEE74294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ий текст (2)_"/>
    <w:basedOn w:val="a0"/>
    <w:link w:val="20"/>
    <w:rPr>
      <w:rFonts w:ascii="Times New Roman" w:eastAsia="Times New Roman" w:hAnsi="Times New Roman" w:cs="Times New Roman"/>
      <w:b w:val="0"/>
      <w:bCs w:val="0"/>
      <w:i/>
      <w:iCs/>
      <w:smallCaps w:val="0"/>
      <w:strike w:val="0"/>
      <w:sz w:val="22"/>
      <w:szCs w:val="22"/>
      <w:u w:val="none"/>
    </w:rPr>
  </w:style>
  <w:style w:type="paragraph" w:customStyle="1" w:styleId="a4">
    <w:name w:val="Основний текст"/>
    <w:basedOn w:val="a"/>
    <w:link w:val="a3"/>
    <w:pPr>
      <w:spacing w:line="257" w:lineRule="auto"/>
      <w:ind w:firstLine="400"/>
    </w:pPr>
    <w:rPr>
      <w:rFonts w:ascii="Times New Roman" w:eastAsia="Times New Roman" w:hAnsi="Times New Roman" w:cs="Times New Roman"/>
      <w:sz w:val="26"/>
      <w:szCs w:val="26"/>
    </w:rPr>
  </w:style>
  <w:style w:type="paragraph" w:customStyle="1" w:styleId="20">
    <w:name w:val="Основний текст (2)"/>
    <w:basedOn w:val="a"/>
    <w:link w:val="2"/>
    <w:pPr>
      <w:spacing w:line="252" w:lineRule="auto"/>
      <w:ind w:left="4260"/>
    </w:pPr>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2299</Words>
  <Characters>1311</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Інна Новак</cp:lastModifiedBy>
  <cp:revision>4</cp:revision>
  <cp:lastPrinted>2022-11-07T09:24:00Z</cp:lastPrinted>
  <dcterms:created xsi:type="dcterms:W3CDTF">2022-11-07T08:59:00Z</dcterms:created>
  <dcterms:modified xsi:type="dcterms:W3CDTF">2022-11-07T09:54:00Z</dcterms:modified>
</cp:coreProperties>
</file>