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4E" w:rsidRDefault="00865013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5013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4" o:title=""/>
          </v:shape>
        </w:pict>
      </w:r>
    </w:p>
    <w:p w:rsidR="00064D4E" w:rsidRPr="00321767" w:rsidRDefault="00064D4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064D4E" w:rsidRPr="00321767" w:rsidRDefault="00064D4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</w:p>
    <w:p w:rsidR="00064D4E" w:rsidRDefault="00064D4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</w:p>
    <w:p w:rsidR="00064D4E" w:rsidRDefault="00064D4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</w:p>
    <w:p w:rsidR="00064D4E" w:rsidRPr="00321767" w:rsidRDefault="00064D4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 шоста сесія)</w:t>
      </w:r>
    </w:p>
    <w:p w:rsidR="00064D4E" w:rsidRPr="00321767" w:rsidRDefault="00064D4E" w:rsidP="00303DDA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064D4E" w:rsidRDefault="00064D4E" w:rsidP="005F1186">
      <w:pPr>
        <w:rPr>
          <w:lang w:val="uk-UA"/>
        </w:rPr>
      </w:pPr>
    </w:p>
    <w:p w:rsidR="00064D4E" w:rsidRPr="002D339C" w:rsidRDefault="002D339C" w:rsidP="005F1186">
      <w:pPr>
        <w:pStyle w:val="a3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</w:t>
      </w:r>
      <w:proofErr w:type="spellStart"/>
      <w:r>
        <w:rPr>
          <w:rFonts w:ascii="Times New Roman" w:hAnsi="Times New Roman"/>
          <w:sz w:val="28"/>
          <w:szCs w:val="28"/>
        </w:rPr>
        <w:t>лютого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64D4E">
        <w:rPr>
          <w:rFonts w:ascii="Times New Roman" w:hAnsi="Times New Roman"/>
          <w:sz w:val="28"/>
          <w:szCs w:val="28"/>
          <w:lang w:val="uk-UA"/>
        </w:rPr>
        <w:t xml:space="preserve">2021 року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№ </w:t>
      </w:r>
      <w:r>
        <w:rPr>
          <w:rFonts w:ascii="Times New Roman" w:hAnsi="Times New Roman"/>
          <w:sz w:val="28"/>
          <w:szCs w:val="28"/>
        </w:rPr>
        <w:t>141</w:t>
      </w:r>
    </w:p>
    <w:p w:rsidR="00064D4E" w:rsidRDefault="00064D4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064D4E" w:rsidRDefault="00064D4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комунального майна </w:t>
      </w:r>
    </w:p>
    <w:p w:rsidR="00064D4E" w:rsidRDefault="00064D4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праві господарського відання</w:t>
      </w:r>
    </w:p>
    <w:p w:rsidR="00064D4E" w:rsidRDefault="00064D4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«Благоустрій» ВМР</w:t>
      </w:r>
    </w:p>
    <w:p w:rsidR="00064D4E" w:rsidRDefault="00064D4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064D4E" w:rsidRDefault="00064D4E" w:rsidP="006B3895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від15.12.2020 року                       № 62 «Про початок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Старорафалівської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відповідно до Закону України  «Про передачу об’єктів права  державної та комунальної власності», ст.ст. 328, 329 Цивільного Кодексу України, керуючись ст. 59, 60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064D4E" w:rsidRDefault="00064D4E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4D4E" w:rsidRDefault="00064D4E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064D4E" w:rsidRDefault="00064D4E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4D4E" w:rsidRDefault="00064D4E" w:rsidP="005F1186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Передати з балансу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баланс комунального підприємства «Благоустрій»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праві господарського відання комунальне майно згідно з додатком.</w:t>
      </w:r>
    </w:p>
    <w:p w:rsidR="00064D4E" w:rsidRDefault="00064D4E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064D4E" w:rsidRDefault="00064D4E" w:rsidP="005F1186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 Виконавчому комітету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передати з свого балансу вищевказане комунальне майно на баланс комунального підприємства «Благоустрій»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у відповідності до вимог чинного законодавства.</w:t>
      </w:r>
    </w:p>
    <w:p w:rsidR="00064D4E" w:rsidRPr="006B3895" w:rsidRDefault="00064D4E" w:rsidP="005F1186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64D4E" w:rsidRDefault="00064D4E" w:rsidP="001462F7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3. Комунальному підприємству «Благоустрій»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064D4E" w:rsidRPr="006B3895" w:rsidRDefault="00064D4E" w:rsidP="00B82E3B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64D4E" w:rsidRPr="006B3895" w:rsidRDefault="00064D4E" w:rsidP="008C7436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 Контроль за виконанням рішення залишаю за постійною депутатською комісією з питань комунального майна, житлової політики, ін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фраструктури та благоустрою</w:t>
      </w: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64D4E" w:rsidRDefault="00064D4E" w:rsidP="008C743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064D4E" w:rsidRDefault="00064D4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4D4E" w:rsidRDefault="00064D4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064D4E" w:rsidRDefault="00064D4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Олександр МЕНЗУЛ</w:t>
      </w:r>
    </w:p>
    <w:p w:rsidR="00064D4E" w:rsidRDefault="00064D4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4D4E" w:rsidRDefault="00064D4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4D4E" w:rsidRDefault="00064D4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4D4E" w:rsidRPr="00181F18" w:rsidRDefault="00064D4E" w:rsidP="00181F18">
      <w:pPr>
        <w:ind w:left="5103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lastRenderedPageBreak/>
        <w:t>Додаток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1</w:t>
      </w:r>
    </w:p>
    <w:p w:rsidR="00064D4E" w:rsidRPr="00181F18" w:rsidRDefault="00064D4E" w:rsidP="00181F18">
      <w:pPr>
        <w:ind w:left="5103"/>
        <w:jc w:val="right"/>
        <w:rPr>
          <w:rFonts w:ascii="Times New Roman" w:hAnsi="Times New Roman"/>
          <w:sz w:val="28"/>
          <w:szCs w:val="28"/>
          <w:lang w:val="ru-RU"/>
        </w:rPr>
      </w:pPr>
      <w:r w:rsidRPr="00181F18"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181F18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181F18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t>Вараської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ради </w:t>
      </w:r>
    </w:p>
    <w:p w:rsidR="00064D4E" w:rsidRDefault="002D339C" w:rsidP="00181F18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24 лютого 2021 р. № 141</w:t>
      </w:r>
      <w:r w:rsidR="00064D4E"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64D4E" w:rsidRPr="00181F18" w:rsidRDefault="00064D4E" w:rsidP="00181F18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64D4E" w:rsidRDefault="00064D4E" w:rsidP="00181F1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Перелік майна виконавчого комітету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ради,що передається на баланс комунальному підприємству «Благоустрій»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W w:w="9856" w:type="dxa"/>
        <w:tblInd w:w="96" w:type="dxa"/>
        <w:tblLayout w:type="fixed"/>
        <w:tblLook w:val="00A0"/>
      </w:tblPr>
      <w:tblGrid>
        <w:gridCol w:w="717"/>
        <w:gridCol w:w="2120"/>
        <w:gridCol w:w="1415"/>
        <w:gridCol w:w="750"/>
        <w:gridCol w:w="667"/>
        <w:gridCol w:w="567"/>
        <w:gridCol w:w="439"/>
        <w:gridCol w:w="270"/>
        <w:gridCol w:w="457"/>
        <w:gridCol w:w="681"/>
        <w:gridCol w:w="453"/>
        <w:gridCol w:w="142"/>
        <w:gridCol w:w="1115"/>
        <w:gridCol w:w="56"/>
        <w:gridCol w:w="7"/>
      </w:tblGrid>
      <w:tr w:rsidR="00064D4E" w:rsidRPr="00655218" w:rsidTr="001462F7">
        <w:trPr>
          <w:trHeight w:val="26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064D4E" w:rsidRPr="00655218" w:rsidTr="001462F7">
        <w:trPr>
          <w:gridAfter w:val="1"/>
          <w:wAfter w:w="7" w:type="dxa"/>
          <w:trHeight w:val="1248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064D4E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Огорожа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металева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4707,00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2515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2192,00</w:t>
            </w: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Герб села 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Стара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2196,00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1132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1064,00</w:t>
            </w: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Споруди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канави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47860,00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47860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Дороги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36,6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11303,00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5405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5898,00</w:t>
            </w: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Вуличне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6,14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25836,00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12204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13632,00</w:t>
            </w: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Вуличне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Бабка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28462,00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24137</w:t>
            </w:r>
            <w:r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4325,00</w:t>
            </w: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Водогін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105993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4215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1478242,00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66374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1411868,00</w:t>
            </w:r>
          </w:p>
        </w:tc>
      </w:tr>
      <w:tr w:rsidR="00064D4E" w:rsidRPr="00655218" w:rsidTr="001462F7">
        <w:trPr>
          <w:gridAfter w:val="1"/>
          <w:wAfter w:w="7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Зупинка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Стара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Рафалівка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101330009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16225,00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2866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13359,00</w:t>
            </w:r>
          </w:p>
        </w:tc>
      </w:tr>
      <w:tr w:rsidR="00064D4E" w:rsidRPr="00655218" w:rsidTr="00440A26">
        <w:trPr>
          <w:gridAfter w:val="1"/>
          <w:wAfter w:w="7" w:type="dxa"/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064D4E" w:rsidRPr="00440A26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40A2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4278,94</w:t>
            </w:r>
          </w:p>
        </w:tc>
        <w:tc>
          <w:tcPr>
            <w:tcW w:w="11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1614831,0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162493,00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1452338,00</w:t>
            </w:r>
          </w:p>
        </w:tc>
      </w:tr>
      <w:tr w:rsidR="00064D4E" w:rsidRPr="00655218" w:rsidTr="001462F7">
        <w:trPr>
          <w:gridAfter w:val="4"/>
          <w:wAfter w:w="1320" w:type="dxa"/>
          <w:trHeight w:val="26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064D4E" w:rsidRPr="00655218" w:rsidTr="00043499">
        <w:trPr>
          <w:gridAfter w:val="2"/>
          <w:wAfter w:w="63" w:type="dxa"/>
          <w:trHeight w:val="1203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064D4E" w:rsidRPr="00655218" w:rsidTr="00043499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064D4E" w:rsidRPr="00655218" w:rsidTr="00043499">
        <w:trPr>
          <w:gridAfter w:val="2"/>
          <w:wAfter w:w="63" w:type="dxa"/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Бензопила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101630019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6710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1516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5194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,00</w:t>
            </w:r>
          </w:p>
        </w:tc>
      </w:tr>
      <w:tr w:rsidR="00064D4E" w:rsidRPr="00655218" w:rsidTr="00440A26">
        <w:trPr>
          <w:gridAfter w:val="2"/>
          <w:wAfter w:w="63" w:type="dxa"/>
          <w:trHeight w:val="312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64D4E" w:rsidRPr="00440A26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40A2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1462F7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462F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6710,0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1462F7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462F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1516,00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1462F7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1462F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5194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,00</w:t>
            </w:r>
          </w:p>
        </w:tc>
      </w:tr>
      <w:tr w:rsidR="00064D4E" w:rsidRPr="00655218" w:rsidTr="00440A26">
        <w:trPr>
          <w:gridAfter w:val="2"/>
          <w:wAfter w:w="63" w:type="dxa"/>
          <w:trHeight w:val="240"/>
        </w:trPr>
        <w:tc>
          <w:tcPr>
            <w:tcW w:w="717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8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064D4E" w:rsidRPr="00655218" w:rsidTr="00043499">
        <w:trPr>
          <w:gridAfter w:val="2"/>
          <w:wAfter w:w="63" w:type="dxa"/>
          <w:trHeight w:val="12"/>
        </w:trPr>
        <w:tc>
          <w:tcPr>
            <w:tcW w:w="717" w:type="dxa"/>
            <w:vMerge/>
            <w:tcBorders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064D4E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0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</w:tcPr>
          <w:p w:rsidR="00064D4E" w:rsidRPr="00655218" w:rsidRDefault="00064D4E" w:rsidP="00655218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064D4E" w:rsidRPr="00655218" w:rsidTr="001462F7">
        <w:trPr>
          <w:gridAfter w:val="2"/>
          <w:wAfter w:w="63" w:type="dxa"/>
          <w:trHeight w:val="996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064D4E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Електролічильник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№1770484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13,00</w:t>
            </w:r>
          </w:p>
        </w:tc>
      </w:tr>
      <w:tr w:rsidR="00064D4E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Герлянда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зовнішня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111300050/51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891,00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446,00</w:t>
            </w:r>
          </w:p>
        </w:tc>
      </w:tr>
      <w:tr w:rsidR="00064D4E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Контейнери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збору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</w:t>
            </w:r>
            <w:proofErr w:type="spellEnd"/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тари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111300052/56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19749,00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9874,00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9874,00</w:t>
            </w:r>
          </w:p>
        </w:tc>
      </w:tr>
      <w:tr w:rsidR="00064D4E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Контейнери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см</w:t>
            </w:r>
            <w:proofErr w:type="gram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іття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111300057/61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20250,00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10014,00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10236,00</w:t>
            </w:r>
          </w:p>
        </w:tc>
      </w:tr>
      <w:tr w:rsidR="00064D4E" w:rsidRPr="00655218" w:rsidTr="001462F7">
        <w:trPr>
          <w:gridAfter w:val="2"/>
          <w:wAfter w:w="63" w:type="dxa"/>
          <w:trHeight w:val="26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Бензокоса</w:t>
            </w:r>
            <w:proofErr w:type="spellEnd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King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111300062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5440,00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5440,00</w:t>
            </w:r>
          </w:p>
        </w:tc>
      </w:tr>
      <w:tr w:rsidR="00064D4E" w:rsidRPr="00655218" w:rsidTr="001462F7">
        <w:trPr>
          <w:gridAfter w:val="2"/>
          <w:wAfter w:w="63" w:type="dxa"/>
          <w:trHeight w:val="312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46355,00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20345,00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D4E" w:rsidRPr="00655218" w:rsidRDefault="00064D4E" w:rsidP="006552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55218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26009,00</w:t>
            </w:r>
          </w:p>
        </w:tc>
      </w:tr>
    </w:tbl>
    <w:p w:rsidR="00064D4E" w:rsidRDefault="00064D4E" w:rsidP="00181F1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64D4E" w:rsidRDefault="00064D4E" w:rsidP="00F7550D">
      <w:pPr>
        <w:ind w:firstLine="0"/>
        <w:jc w:val="both"/>
        <w:rPr>
          <w:sz w:val="28"/>
          <w:szCs w:val="28"/>
          <w:lang w:val="uk-UA"/>
        </w:rPr>
      </w:pPr>
    </w:p>
    <w:p w:rsidR="00064D4E" w:rsidRPr="00F7550D" w:rsidRDefault="00064D4E" w:rsidP="00F7550D">
      <w:pPr>
        <w:ind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550D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  <w:lang w:val="uk-UA"/>
        </w:rPr>
        <w:t>ради                                                   Геннадій ДЕРЕВ’ЯНЧУК</w:t>
      </w:r>
    </w:p>
    <w:p w:rsidR="00064D4E" w:rsidRDefault="00064D4E" w:rsidP="00181F18">
      <w:pPr>
        <w:rPr>
          <w:rFonts w:ascii="Times New Roman" w:hAnsi="Times New Roman"/>
          <w:sz w:val="28"/>
          <w:szCs w:val="28"/>
          <w:lang w:val="uk-UA"/>
        </w:rPr>
      </w:pPr>
      <w:r w:rsidRPr="008538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</w:p>
    <w:p w:rsidR="00064D4E" w:rsidRDefault="00064D4E" w:rsidP="0085380C">
      <w:pPr>
        <w:ind w:left="4248" w:firstLine="0"/>
        <w:rPr>
          <w:rFonts w:ascii="Times New Roman" w:hAnsi="Times New Roman"/>
          <w:sz w:val="28"/>
          <w:szCs w:val="28"/>
          <w:lang w:val="uk-UA"/>
        </w:rPr>
      </w:pPr>
    </w:p>
    <w:sectPr w:rsidR="00064D4E" w:rsidSect="0085380C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186"/>
    <w:rsid w:val="000107E8"/>
    <w:rsid w:val="00024DFB"/>
    <w:rsid w:val="00043499"/>
    <w:rsid w:val="00064D4E"/>
    <w:rsid w:val="00073CC3"/>
    <w:rsid w:val="000A045B"/>
    <w:rsid w:val="000B1453"/>
    <w:rsid w:val="000B3455"/>
    <w:rsid w:val="000C0563"/>
    <w:rsid w:val="000E2DB4"/>
    <w:rsid w:val="000F0911"/>
    <w:rsid w:val="00105D0E"/>
    <w:rsid w:val="001406D6"/>
    <w:rsid w:val="00144FB8"/>
    <w:rsid w:val="001462F7"/>
    <w:rsid w:val="00150A57"/>
    <w:rsid w:val="001552D3"/>
    <w:rsid w:val="00181F18"/>
    <w:rsid w:val="001A1A20"/>
    <w:rsid w:val="001B7DB2"/>
    <w:rsid w:val="002153F5"/>
    <w:rsid w:val="00216170"/>
    <w:rsid w:val="00226F1A"/>
    <w:rsid w:val="00235A25"/>
    <w:rsid w:val="00240BF2"/>
    <w:rsid w:val="00251C24"/>
    <w:rsid w:val="002526BB"/>
    <w:rsid w:val="002661CB"/>
    <w:rsid w:val="002700F8"/>
    <w:rsid w:val="0028546E"/>
    <w:rsid w:val="002B547E"/>
    <w:rsid w:val="002B6D9B"/>
    <w:rsid w:val="002D01BF"/>
    <w:rsid w:val="002D339C"/>
    <w:rsid w:val="002E316E"/>
    <w:rsid w:val="002F0BBD"/>
    <w:rsid w:val="00302C2F"/>
    <w:rsid w:val="00303DDA"/>
    <w:rsid w:val="00306E67"/>
    <w:rsid w:val="00315E53"/>
    <w:rsid w:val="00321767"/>
    <w:rsid w:val="00351F75"/>
    <w:rsid w:val="00352322"/>
    <w:rsid w:val="00354272"/>
    <w:rsid w:val="003665D3"/>
    <w:rsid w:val="0037319B"/>
    <w:rsid w:val="00380DBB"/>
    <w:rsid w:val="003A6847"/>
    <w:rsid w:val="003B02C5"/>
    <w:rsid w:val="003C0C3F"/>
    <w:rsid w:val="003D4377"/>
    <w:rsid w:val="003E5234"/>
    <w:rsid w:val="00416767"/>
    <w:rsid w:val="00440A26"/>
    <w:rsid w:val="00440AB2"/>
    <w:rsid w:val="004515BC"/>
    <w:rsid w:val="00471251"/>
    <w:rsid w:val="00475582"/>
    <w:rsid w:val="00475D86"/>
    <w:rsid w:val="00476E9A"/>
    <w:rsid w:val="00485031"/>
    <w:rsid w:val="00496A2B"/>
    <w:rsid w:val="004E3990"/>
    <w:rsid w:val="004E5F9D"/>
    <w:rsid w:val="004F5412"/>
    <w:rsid w:val="004F5ACE"/>
    <w:rsid w:val="004F6F50"/>
    <w:rsid w:val="00501D95"/>
    <w:rsid w:val="00515BD2"/>
    <w:rsid w:val="00537089"/>
    <w:rsid w:val="00551505"/>
    <w:rsid w:val="005519A9"/>
    <w:rsid w:val="00560A02"/>
    <w:rsid w:val="005A4F6C"/>
    <w:rsid w:val="005B3644"/>
    <w:rsid w:val="005B7001"/>
    <w:rsid w:val="005F1186"/>
    <w:rsid w:val="005F7B29"/>
    <w:rsid w:val="00613FC4"/>
    <w:rsid w:val="00641ED7"/>
    <w:rsid w:val="00646417"/>
    <w:rsid w:val="006513E9"/>
    <w:rsid w:val="00651879"/>
    <w:rsid w:val="00655218"/>
    <w:rsid w:val="006577F6"/>
    <w:rsid w:val="00663135"/>
    <w:rsid w:val="0066346B"/>
    <w:rsid w:val="006849D1"/>
    <w:rsid w:val="00695131"/>
    <w:rsid w:val="006B3895"/>
    <w:rsid w:val="006D232A"/>
    <w:rsid w:val="00726121"/>
    <w:rsid w:val="0076380C"/>
    <w:rsid w:val="00764431"/>
    <w:rsid w:val="0077587A"/>
    <w:rsid w:val="00775A34"/>
    <w:rsid w:val="007E5665"/>
    <w:rsid w:val="007F0EAB"/>
    <w:rsid w:val="007F3C14"/>
    <w:rsid w:val="007F4884"/>
    <w:rsid w:val="007F749A"/>
    <w:rsid w:val="0080140E"/>
    <w:rsid w:val="00843CDD"/>
    <w:rsid w:val="00851041"/>
    <w:rsid w:val="00853080"/>
    <w:rsid w:val="0085380C"/>
    <w:rsid w:val="00860925"/>
    <w:rsid w:val="00862DD2"/>
    <w:rsid w:val="00863175"/>
    <w:rsid w:val="00865013"/>
    <w:rsid w:val="00871E31"/>
    <w:rsid w:val="008754CD"/>
    <w:rsid w:val="0089046B"/>
    <w:rsid w:val="008B6023"/>
    <w:rsid w:val="008C516B"/>
    <w:rsid w:val="008C7436"/>
    <w:rsid w:val="008D7B11"/>
    <w:rsid w:val="00917594"/>
    <w:rsid w:val="0092076C"/>
    <w:rsid w:val="009233CA"/>
    <w:rsid w:val="00932167"/>
    <w:rsid w:val="00936371"/>
    <w:rsid w:val="00941037"/>
    <w:rsid w:val="00946787"/>
    <w:rsid w:val="0096127A"/>
    <w:rsid w:val="00962A0C"/>
    <w:rsid w:val="00983F7B"/>
    <w:rsid w:val="00992416"/>
    <w:rsid w:val="009A201E"/>
    <w:rsid w:val="009D1BFB"/>
    <w:rsid w:val="009D673B"/>
    <w:rsid w:val="00A13D41"/>
    <w:rsid w:val="00A20D12"/>
    <w:rsid w:val="00A2188D"/>
    <w:rsid w:val="00A2698B"/>
    <w:rsid w:val="00A3459D"/>
    <w:rsid w:val="00A34CB0"/>
    <w:rsid w:val="00A43491"/>
    <w:rsid w:val="00A50639"/>
    <w:rsid w:val="00A755F8"/>
    <w:rsid w:val="00A86D5A"/>
    <w:rsid w:val="00AA2BF8"/>
    <w:rsid w:val="00AA2E56"/>
    <w:rsid w:val="00AB79DF"/>
    <w:rsid w:val="00AC31E0"/>
    <w:rsid w:val="00AD0CB1"/>
    <w:rsid w:val="00AF130A"/>
    <w:rsid w:val="00B22DFF"/>
    <w:rsid w:val="00B26060"/>
    <w:rsid w:val="00B45E64"/>
    <w:rsid w:val="00B629E8"/>
    <w:rsid w:val="00B72CF9"/>
    <w:rsid w:val="00B82E3B"/>
    <w:rsid w:val="00B918B7"/>
    <w:rsid w:val="00BA374A"/>
    <w:rsid w:val="00BA4B1F"/>
    <w:rsid w:val="00BA536F"/>
    <w:rsid w:val="00BA742A"/>
    <w:rsid w:val="00BF0FB7"/>
    <w:rsid w:val="00BF1010"/>
    <w:rsid w:val="00BF6A78"/>
    <w:rsid w:val="00C058E3"/>
    <w:rsid w:val="00C36CE9"/>
    <w:rsid w:val="00C73C31"/>
    <w:rsid w:val="00C745F3"/>
    <w:rsid w:val="00C84281"/>
    <w:rsid w:val="00C91CD1"/>
    <w:rsid w:val="00CA1E30"/>
    <w:rsid w:val="00CB4996"/>
    <w:rsid w:val="00CC697B"/>
    <w:rsid w:val="00CE762B"/>
    <w:rsid w:val="00D45E16"/>
    <w:rsid w:val="00D52A85"/>
    <w:rsid w:val="00D67D37"/>
    <w:rsid w:val="00D82601"/>
    <w:rsid w:val="00D8393A"/>
    <w:rsid w:val="00DB7816"/>
    <w:rsid w:val="00DC4FB1"/>
    <w:rsid w:val="00DC7224"/>
    <w:rsid w:val="00DE1B7E"/>
    <w:rsid w:val="00DE1CC0"/>
    <w:rsid w:val="00DE60B9"/>
    <w:rsid w:val="00E12AB5"/>
    <w:rsid w:val="00E2467B"/>
    <w:rsid w:val="00E41645"/>
    <w:rsid w:val="00EB2348"/>
    <w:rsid w:val="00EB6DFF"/>
    <w:rsid w:val="00EC5F3C"/>
    <w:rsid w:val="00ED0A91"/>
    <w:rsid w:val="00ED1A96"/>
    <w:rsid w:val="00ED713B"/>
    <w:rsid w:val="00EE2BAF"/>
    <w:rsid w:val="00EE41DC"/>
    <w:rsid w:val="00EF3B36"/>
    <w:rsid w:val="00EF7F15"/>
    <w:rsid w:val="00F139E5"/>
    <w:rsid w:val="00F1512A"/>
    <w:rsid w:val="00F21B65"/>
    <w:rsid w:val="00F22146"/>
    <w:rsid w:val="00F3470D"/>
    <w:rsid w:val="00F51132"/>
    <w:rsid w:val="00F531AE"/>
    <w:rsid w:val="00F61822"/>
    <w:rsid w:val="00F746A4"/>
    <w:rsid w:val="00F7550D"/>
    <w:rsid w:val="00F81929"/>
    <w:rsid w:val="00F8308D"/>
    <w:rsid w:val="00F85B14"/>
    <w:rsid w:val="00FA69E6"/>
    <w:rsid w:val="00FC6F26"/>
    <w:rsid w:val="00FD15E0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86"/>
    <w:pPr>
      <w:ind w:firstLine="360"/>
    </w:pPr>
    <w:rPr>
      <w:rFonts w:eastAsia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1186"/>
    <w:pPr>
      <w:ind w:firstLine="360"/>
    </w:pPr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F1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11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3350</Characters>
  <Application>Microsoft Office Word</Application>
  <DocSecurity>0</DocSecurity>
  <Lines>27</Lines>
  <Paragraphs>7</Paragraphs>
  <ScaleCrop>false</ScaleCrop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ФОС</dc:creator>
  <cp:keywords/>
  <dc:description/>
  <cp:lastModifiedBy>Userr</cp:lastModifiedBy>
  <cp:revision>3</cp:revision>
  <cp:lastPrinted>2021-02-26T06:00:00Z</cp:lastPrinted>
  <dcterms:created xsi:type="dcterms:W3CDTF">2021-02-26T06:22:00Z</dcterms:created>
  <dcterms:modified xsi:type="dcterms:W3CDTF">2021-03-01T09:48:00Z</dcterms:modified>
</cp:coreProperties>
</file>