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82" w:rsidRPr="00CD3076" w:rsidRDefault="009B685E" w:rsidP="00CD3076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9B685E">
        <w:rPr>
          <w:rFonts w:ascii="Times New Roman" w:hAnsi="Times New Roman"/>
          <w:noProof/>
          <w:color w:val="4E4E4E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http://doc.varash-rada.gov.ua/components/com_documents/images/gerb.png" style="width:42.75pt;height:54pt;visibility:visible">
            <v:imagedata r:id="rId5" o:title=""/>
          </v:shape>
        </w:pict>
      </w:r>
    </w:p>
    <w:p w:rsidR="00F60682" w:rsidRPr="00CD3076" w:rsidRDefault="00F60682" w:rsidP="00175AFD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682" w:rsidRPr="00CD3076" w:rsidRDefault="00F60682" w:rsidP="00175AFD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УКРАЇНА</w:t>
      </w:r>
    </w:p>
    <w:p w:rsidR="00F60682" w:rsidRPr="00CD3076" w:rsidRDefault="00F60682" w:rsidP="00175AFD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ВАРАСЬКА МІСЬКА РАДА</w:t>
      </w:r>
    </w:p>
    <w:p w:rsidR="00F60682" w:rsidRPr="00CD3076" w:rsidRDefault="00F60682" w:rsidP="00175AFD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РІВНЕНСЬКОЇ ОБЛАСТІ</w:t>
      </w:r>
    </w:p>
    <w:p w:rsidR="00F60682" w:rsidRDefault="00F60682" w:rsidP="00175AFD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Восьме скликання</w:t>
      </w:r>
    </w:p>
    <w:p w:rsidR="00F60682" w:rsidRPr="00CD3076" w:rsidRDefault="00F60682" w:rsidP="00175AFD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(Шоста 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сесія )</w:t>
      </w:r>
    </w:p>
    <w:p w:rsidR="00F60682" w:rsidRPr="00CD3076" w:rsidRDefault="00F60682" w:rsidP="00175AFD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РІШЕННЯ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384"/>
        <w:gridCol w:w="2983"/>
        <w:gridCol w:w="3301"/>
      </w:tblGrid>
      <w:tr w:rsidR="00E62424" w:rsidRPr="00A45BCA" w:rsidTr="001744C2">
        <w:tc>
          <w:tcPr>
            <w:tcW w:w="5550" w:type="dxa"/>
            <w:vAlign w:val="center"/>
          </w:tcPr>
          <w:p w:rsidR="00F60682" w:rsidRPr="00CD3076" w:rsidRDefault="00E62424" w:rsidP="00E624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24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лютого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F6068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2021 року</w:t>
            </w:r>
          </w:p>
        </w:tc>
        <w:tc>
          <w:tcPr>
            <w:tcW w:w="5550" w:type="dxa"/>
            <w:vAlign w:val="center"/>
          </w:tcPr>
          <w:p w:rsidR="00F60682" w:rsidRPr="00CD3076" w:rsidRDefault="00F60682" w:rsidP="00CD307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50" w:type="dxa"/>
            <w:vAlign w:val="center"/>
          </w:tcPr>
          <w:p w:rsidR="00F60682" w:rsidRPr="00E62424" w:rsidRDefault="00E62424" w:rsidP="00CD307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F60682" w:rsidRPr="00CD30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="00860AE3">
              <w:rPr>
                <w:rFonts w:ascii="Times New Roman" w:hAnsi="Times New Roman"/>
                <w:color w:val="000000"/>
                <w:sz w:val="28"/>
                <w:szCs w:val="28"/>
                <w:lang w:val="en-US" w:eastAsia="ru-RU"/>
              </w:rPr>
              <w:t>145</w:t>
            </w:r>
          </w:p>
        </w:tc>
      </w:tr>
    </w:tbl>
    <w:p w:rsidR="00F60682" w:rsidRPr="00CD3076" w:rsidRDefault="00F60682" w:rsidP="00CD307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4E4E4E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4E4E4E"/>
          <w:sz w:val="28"/>
          <w:szCs w:val="28"/>
          <w:lang w:eastAsia="ru-RU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518"/>
        <w:gridCol w:w="915"/>
        <w:gridCol w:w="4235"/>
      </w:tblGrid>
      <w:tr w:rsidR="00F60682" w:rsidRPr="00A45BCA" w:rsidTr="001744C2">
        <w:tc>
          <w:tcPr>
            <w:tcW w:w="4965" w:type="dxa"/>
            <w:shd w:val="clear" w:color="auto" w:fill="FFFFFF"/>
            <w:vAlign w:val="center"/>
          </w:tcPr>
          <w:p w:rsidR="00F60682" w:rsidRPr="00CD3076" w:rsidRDefault="00F60682" w:rsidP="001D65F5">
            <w:pPr>
              <w:widowControl w:val="0"/>
              <w:spacing w:before="225" w:after="225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D307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 передачу комунального майна на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CD307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праві господарського відання </w:t>
            </w:r>
            <w:proofErr w:type="spellStart"/>
            <w:r w:rsidRPr="00CD307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КП</w:t>
            </w:r>
            <w:proofErr w:type="spellEnd"/>
            <w:r w:rsidRPr="00CD3076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«Благоустрій» ВМР</w:t>
            </w:r>
          </w:p>
        </w:tc>
        <w:tc>
          <w:tcPr>
            <w:tcW w:w="1065" w:type="dxa"/>
            <w:shd w:val="clear" w:color="auto" w:fill="FFFFFF"/>
            <w:vAlign w:val="center"/>
          </w:tcPr>
          <w:p w:rsidR="00F60682" w:rsidRPr="00CD3076" w:rsidRDefault="00F60682" w:rsidP="00CD3076">
            <w:pPr>
              <w:widowControl w:val="0"/>
              <w:spacing w:before="225" w:after="225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shd w:val="clear" w:color="auto" w:fill="FFFFFF"/>
            <w:vAlign w:val="center"/>
          </w:tcPr>
          <w:p w:rsidR="00F60682" w:rsidRPr="00CD3076" w:rsidRDefault="00F60682" w:rsidP="00CD3076">
            <w:pPr>
              <w:widowControl w:val="0"/>
              <w:spacing w:before="225" w:after="225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0682" w:rsidRPr="00CD3076" w:rsidRDefault="00F60682" w:rsidP="00CD3076">
      <w:pPr>
        <w:widowControl w:val="0"/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682" w:rsidRPr="00CD3076" w:rsidRDefault="00F60682" w:rsidP="00CD3076">
      <w:pPr>
        <w:widowControl w:val="0"/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виконання рішення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кої ради від 15.12.2020 року №44</w:t>
      </w: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«Про початок реорганізації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Озерецької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сільської ради шляхом приєднання до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ради», відповідно до Закону України «Про передачу об’єктів права державної та комунальної власності», ст.ст. 328, 329 Цивільного Кодексу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України, керуючись ст.</w:t>
      </w: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59, ст. 60 Закону України «Про місцеве самоврядування в Україні»,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Вараська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міська рада</w:t>
      </w:r>
    </w:p>
    <w:p w:rsidR="00F60682" w:rsidRPr="00CD3076" w:rsidRDefault="00F60682" w:rsidP="00CD3076">
      <w:pPr>
        <w:widowControl w:val="0"/>
        <w:shd w:val="clear" w:color="auto" w:fill="FFFFFF"/>
        <w:spacing w:before="150" w:after="15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И Р І Ш И Л А:</w:t>
      </w:r>
    </w:p>
    <w:p w:rsidR="00F60682" w:rsidRPr="00CD3076" w:rsidRDefault="00F60682" w:rsidP="00CD3076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1. Передати з балансу виконавчого комітету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комунальне майно на баланс комунального підприємства «Благоустрій»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на праві господарського відання згідно з додатком.</w:t>
      </w:r>
    </w:p>
    <w:p w:rsidR="00F60682" w:rsidRPr="00CD3076" w:rsidRDefault="00F60682" w:rsidP="00CD3076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Виконавчому комітету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переда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ти з свого балансу вищевказане </w:t>
      </w: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комунальне майно на баланс комунального підприємства «Благоустрій»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у відповідності до вимог чинного законодавства.</w:t>
      </w:r>
    </w:p>
    <w:p w:rsidR="00F60682" w:rsidRPr="00CD3076" w:rsidRDefault="00F60682" w:rsidP="00CD3076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Комунальному підприємству «Благоустрій» </w:t>
      </w:r>
      <w:proofErr w:type="spellStart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Вараської</w:t>
      </w:r>
      <w:proofErr w:type="spellEnd"/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міської ради прийняти на баланс вищезазначене майно на праві господарського відання у відповідності до чинного законодавства України забезпечивши його бухгалтерський облік.</w:t>
      </w:r>
    </w:p>
    <w:p w:rsidR="00F60682" w:rsidRPr="00CD3076" w:rsidRDefault="00F60682" w:rsidP="00CD3076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Контроль за виконанням рішення залишаю за постійною депутатською комісією з питань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комунального </w:t>
      </w: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майна, житлової політики, інфраструктури та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благоустрою</w:t>
      </w: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F60682" w:rsidRPr="00CD3076" w:rsidRDefault="00F60682" w:rsidP="00CD3076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0682" w:rsidRPr="00CD3076" w:rsidRDefault="00F60682" w:rsidP="00CD3076">
      <w:pPr>
        <w:widowControl w:val="0"/>
        <w:shd w:val="clear" w:color="auto" w:fill="FFFFFF"/>
        <w:spacing w:before="150" w:after="15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3076">
        <w:rPr>
          <w:rFonts w:ascii="Times New Roman" w:hAnsi="Times New Roman"/>
          <w:color w:val="000000"/>
          <w:sz w:val="28"/>
          <w:szCs w:val="28"/>
          <w:lang w:eastAsia="ru-RU"/>
        </w:rPr>
        <w:t>Міський голова                                                   Олександр МЕНЗУЛ</w:t>
      </w:r>
    </w:p>
    <w:p w:rsidR="00F60682" w:rsidRDefault="00F60682" w:rsidP="00CD3076">
      <w:pPr>
        <w:spacing w:after="0" w:line="240" w:lineRule="auto"/>
        <w:ind w:firstLine="360"/>
        <w:jc w:val="right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F60682" w:rsidRDefault="00F60682" w:rsidP="00CD3076">
      <w:pPr>
        <w:spacing w:after="0" w:line="240" w:lineRule="auto"/>
        <w:ind w:firstLine="360"/>
        <w:jc w:val="right"/>
        <w:rPr>
          <w:rFonts w:ascii="Times New Roman" w:hAnsi="Times New Roman"/>
          <w:lang w:val="ru-RU"/>
        </w:rPr>
      </w:pPr>
    </w:p>
    <w:p w:rsidR="00F60682" w:rsidRPr="00CD3076" w:rsidRDefault="00F60682" w:rsidP="0009281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D3076">
        <w:rPr>
          <w:rFonts w:ascii="Times New Roman" w:hAnsi="Times New Roman"/>
          <w:sz w:val="24"/>
          <w:szCs w:val="24"/>
          <w:lang w:val="ru-RU"/>
        </w:rPr>
        <w:lastRenderedPageBreak/>
        <w:t>Додаток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1</w:t>
      </w:r>
    </w:p>
    <w:p w:rsidR="00F60682" w:rsidRPr="00CD3076" w:rsidRDefault="00F60682" w:rsidP="00CD3076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  <w:r w:rsidRPr="00CD3076">
        <w:rPr>
          <w:rFonts w:ascii="Times New Roman" w:hAnsi="Times New Roman"/>
          <w:sz w:val="24"/>
          <w:szCs w:val="24"/>
        </w:rPr>
        <w:t>до рішення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Вараської</w:t>
      </w:r>
      <w:proofErr w:type="spellEnd"/>
      <w:r w:rsidRPr="00CD3076">
        <w:rPr>
          <w:rFonts w:ascii="Times New Roman" w:hAnsi="Times New Roman"/>
          <w:sz w:val="24"/>
          <w:szCs w:val="24"/>
        </w:rPr>
        <w:t xml:space="preserve"> міської ради</w:t>
      </w:r>
    </w:p>
    <w:p w:rsidR="00F60682" w:rsidRPr="00860AE3" w:rsidRDefault="00E62424" w:rsidP="00E62424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24 лютого </w:t>
      </w:r>
      <w:r w:rsidR="00F60682" w:rsidRPr="00CD3076">
        <w:rPr>
          <w:rFonts w:ascii="Times New Roman" w:hAnsi="Times New Roman"/>
          <w:sz w:val="24"/>
          <w:szCs w:val="24"/>
        </w:rPr>
        <w:t xml:space="preserve"> 2021</w:t>
      </w:r>
      <w:r w:rsidR="00F60682">
        <w:rPr>
          <w:rFonts w:ascii="Times New Roman" w:hAnsi="Times New Roman"/>
          <w:sz w:val="24"/>
          <w:szCs w:val="24"/>
        </w:rPr>
        <w:t>р.</w:t>
      </w:r>
      <w:r w:rsidR="00860AE3">
        <w:rPr>
          <w:rFonts w:ascii="Times New Roman" w:hAnsi="Times New Roman"/>
          <w:sz w:val="24"/>
          <w:szCs w:val="24"/>
        </w:rPr>
        <w:t xml:space="preserve"> №1</w:t>
      </w:r>
      <w:r w:rsidR="00860AE3">
        <w:rPr>
          <w:rFonts w:ascii="Times New Roman" w:hAnsi="Times New Roman"/>
          <w:sz w:val="24"/>
          <w:szCs w:val="24"/>
          <w:lang w:val="en-US"/>
        </w:rPr>
        <w:t>45</w:t>
      </w:r>
    </w:p>
    <w:p w:rsidR="00F60682" w:rsidRPr="00CD3076" w:rsidRDefault="00F60682" w:rsidP="00092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D3076">
        <w:rPr>
          <w:rFonts w:ascii="Times New Roman" w:hAnsi="Times New Roman"/>
          <w:b/>
          <w:sz w:val="28"/>
          <w:szCs w:val="28"/>
        </w:rPr>
        <w:t xml:space="preserve">Перелік майна виконавчого комітету </w:t>
      </w:r>
      <w:proofErr w:type="spellStart"/>
      <w:r w:rsidRPr="00CD3076">
        <w:rPr>
          <w:rFonts w:ascii="Times New Roman" w:hAnsi="Times New Roman"/>
          <w:b/>
          <w:sz w:val="28"/>
          <w:szCs w:val="28"/>
        </w:rPr>
        <w:t>Вараської</w:t>
      </w:r>
      <w:proofErr w:type="spellEnd"/>
      <w:r w:rsidRPr="00CD3076">
        <w:rPr>
          <w:rFonts w:ascii="Times New Roman" w:hAnsi="Times New Roman"/>
          <w:b/>
          <w:sz w:val="28"/>
          <w:szCs w:val="28"/>
        </w:rPr>
        <w:t xml:space="preserve"> міської ради, </w:t>
      </w:r>
    </w:p>
    <w:p w:rsidR="00F60682" w:rsidRPr="00CD3076" w:rsidRDefault="00F60682" w:rsidP="00CD3076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D3076">
        <w:rPr>
          <w:rFonts w:ascii="Times New Roman" w:hAnsi="Times New Roman"/>
          <w:b/>
          <w:sz w:val="28"/>
          <w:szCs w:val="28"/>
        </w:rPr>
        <w:t xml:space="preserve">що передається на баланс комунальному підприємству «Благоустрій» </w:t>
      </w:r>
    </w:p>
    <w:p w:rsidR="00F60682" w:rsidRDefault="00F60682" w:rsidP="00D62D40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D3076">
        <w:rPr>
          <w:rFonts w:ascii="Times New Roman" w:hAnsi="Times New Roman"/>
          <w:b/>
          <w:sz w:val="28"/>
          <w:szCs w:val="28"/>
        </w:rPr>
        <w:t>Вараської</w:t>
      </w:r>
      <w:proofErr w:type="spellEnd"/>
      <w:r w:rsidRPr="00CD3076">
        <w:rPr>
          <w:rFonts w:ascii="Times New Roman" w:hAnsi="Times New Roman"/>
          <w:b/>
          <w:sz w:val="28"/>
          <w:szCs w:val="28"/>
        </w:rPr>
        <w:t xml:space="preserve"> міської ради</w:t>
      </w:r>
    </w:p>
    <w:tbl>
      <w:tblPr>
        <w:tblpPr w:leftFromText="180" w:rightFromText="180" w:vertAnchor="text" w:horzAnchor="margin" w:tblpXSpec="center" w:tblpY="160"/>
        <w:tblOverlap w:val="never"/>
        <w:tblW w:w="10031" w:type="dxa"/>
        <w:tblLayout w:type="fixed"/>
        <w:tblLook w:val="00A0"/>
      </w:tblPr>
      <w:tblGrid>
        <w:gridCol w:w="491"/>
        <w:gridCol w:w="2736"/>
        <w:gridCol w:w="1417"/>
        <w:gridCol w:w="567"/>
        <w:gridCol w:w="652"/>
        <w:gridCol w:w="1139"/>
        <w:gridCol w:w="1710"/>
        <w:gridCol w:w="1319"/>
      </w:tblGrid>
      <w:tr w:rsidR="00F60682" w:rsidRPr="005C6E88" w:rsidTr="001D3B36">
        <w:trPr>
          <w:trHeight w:val="25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F60682" w:rsidRPr="005C6E88" w:rsidTr="001D3B36">
        <w:trPr>
          <w:trHeight w:val="1260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F60682" w:rsidRPr="005C6E88" w:rsidTr="001D3B36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F60682" w:rsidRPr="005C6E88" w:rsidTr="001D3B36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Нагорно</w:t>
            </w:r>
            <w:proofErr w:type="spellEnd"/>
            <w:r w:rsidRPr="005C6E88">
              <w:rPr>
                <w:rFonts w:ascii="Times New Roman" w:hAnsi="Times New Roman"/>
                <w:sz w:val="20"/>
                <w:szCs w:val="20"/>
              </w:rPr>
              <w:t xml:space="preserve"> ловчі канали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103100013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809,00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6E88">
              <w:rPr>
                <w:rFonts w:ascii="Times New Roman" w:hAnsi="Times New Roman"/>
                <w:i/>
                <w:iCs/>
                <w:sz w:val="20"/>
                <w:szCs w:val="20"/>
              </w:rPr>
              <w:t>809,00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60682" w:rsidRPr="005C6E88" w:rsidTr="001D3B36">
        <w:tblPrEx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МК</w:t>
            </w:r>
            <w:proofErr w:type="spellEnd"/>
            <w:r w:rsidRPr="005C6E88">
              <w:rPr>
                <w:rFonts w:ascii="Times New Roman" w:hAnsi="Times New Roman"/>
                <w:sz w:val="20"/>
                <w:szCs w:val="20"/>
              </w:rPr>
              <w:t xml:space="preserve"> і провідна сітка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103100014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3,213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44700,00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44700,00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60682" w:rsidRPr="005C6E88" w:rsidTr="001D3B36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Регулюючі канали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103100015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24,983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282084,00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282084,00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60682" w:rsidRPr="005C6E88" w:rsidTr="001D3B36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Переїзди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103100017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38603,00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38603,00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60682" w:rsidRPr="005C6E88" w:rsidTr="001D3B36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Дороги комунальної власності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103100020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км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6,64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6640,00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2988,00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3652,00</w:t>
            </w:r>
          </w:p>
        </w:tc>
      </w:tr>
      <w:tr w:rsidR="00F60682" w:rsidRPr="005C6E88" w:rsidTr="001D3B36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Свердловина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103100022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3331,60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1503,00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1828,60</w:t>
            </w:r>
          </w:p>
        </w:tc>
      </w:tr>
      <w:tr w:rsidR="00F60682" w:rsidRPr="005C6E88" w:rsidTr="001D3B36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Вбиральня(кладовище)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103100023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808,00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808,00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60682" w:rsidRPr="005C6E88" w:rsidTr="001D3B36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Крита автобусна зупинка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101330025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9800,00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654,00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9146,00</w:t>
            </w:r>
          </w:p>
        </w:tc>
      </w:tr>
      <w:tr w:rsidR="00F60682" w:rsidRPr="005C6E88" w:rsidTr="001D3B36">
        <w:tblPrEx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Комплект огорожі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101330026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56885,00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56885,00</w:t>
            </w:r>
          </w:p>
        </w:tc>
      </w:tr>
      <w:tr w:rsidR="00F60682" w:rsidRPr="005C6E88" w:rsidTr="001D3B36">
        <w:tblPrEx>
          <w:tblCellMar>
            <w:left w:w="0" w:type="dxa"/>
            <w:right w:w="0" w:type="dxa"/>
          </w:tblCellMar>
        </w:tblPrEx>
        <w:trPr>
          <w:trHeight w:val="29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682" w:rsidRPr="005C6E88" w:rsidRDefault="00F60682" w:rsidP="00AE5D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</w:rPr>
              <w:t>Всього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42,94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</w:rPr>
              <w:t>443660,60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</w:rPr>
              <w:t>372149,00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</w:rPr>
              <w:t>71511,60</w:t>
            </w:r>
          </w:p>
        </w:tc>
      </w:tr>
      <w:tr w:rsidR="00F60682" w:rsidRPr="005C6E88" w:rsidTr="001D3B36">
        <w:trPr>
          <w:trHeight w:val="315"/>
        </w:trPr>
        <w:tc>
          <w:tcPr>
            <w:tcW w:w="491" w:type="dxa"/>
            <w:tcBorders>
              <w:top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noWrap/>
            <w:vAlign w:val="bottom"/>
          </w:tcPr>
          <w:p w:rsidR="00F60682" w:rsidRPr="005C6E88" w:rsidRDefault="00F60682" w:rsidP="00AE5D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bottom"/>
          </w:tcPr>
          <w:p w:rsidR="00F60682" w:rsidRPr="005C6E88" w:rsidRDefault="00F60682" w:rsidP="00AE5D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F60682" w:rsidRPr="005C6E88" w:rsidRDefault="00F60682" w:rsidP="00AE5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</w:tcBorders>
            <w:noWrap/>
            <w:vAlign w:val="bottom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F60682" w:rsidRPr="005C6E88" w:rsidTr="001D3B36">
        <w:trPr>
          <w:trHeight w:val="496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F60682" w:rsidRPr="005C6E88" w:rsidTr="001D3B36">
        <w:trPr>
          <w:trHeight w:val="903"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F60682" w:rsidRPr="005C6E88" w:rsidTr="001D3B36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F60682" w:rsidRPr="005C6E88" w:rsidTr="001D3B36">
        <w:trPr>
          <w:trHeight w:val="543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Бак металевий для скла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</w:tr>
      <w:tr w:rsidR="00F60682" w:rsidRPr="005C6E88" w:rsidTr="001D3B36">
        <w:trPr>
          <w:trHeight w:val="58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Бак металевий для скла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</w:tr>
      <w:tr w:rsidR="00F60682" w:rsidRPr="005C6E88" w:rsidTr="001D3B36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Бак для пласт відходів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3500,00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1750,00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1750,00</w:t>
            </w:r>
          </w:p>
        </w:tc>
      </w:tr>
      <w:tr w:rsidR="00F60682" w:rsidRPr="005C6E88" w:rsidTr="001D3B36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Бак для пласт відходів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3500,00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1750,00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1750,00</w:t>
            </w:r>
          </w:p>
        </w:tc>
      </w:tr>
      <w:tr w:rsidR="00F60682" w:rsidRPr="005C6E88" w:rsidTr="001D3B36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Обприскувач Форте CL-16A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850,00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425,00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425,00</w:t>
            </w:r>
          </w:p>
        </w:tc>
      </w:tr>
      <w:tr w:rsidR="00F60682" w:rsidRPr="005C6E88" w:rsidTr="001D3B36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Бак  металевий для скла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4950,00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2475,00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2475,00</w:t>
            </w:r>
          </w:p>
        </w:tc>
      </w:tr>
    </w:tbl>
    <w:p w:rsidR="00F60682" w:rsidRPr="005C6E88" w:rsidRDefault="00F60682">
      <w:pPr>
        <w:rPr>
          <w:rFonts w:ascii="Times New Roman" w:hAnsi="Times New Roman"/>
        </w:rPr>
      </w:pPr>
    </w:p>
    <w:p w:rsidR="00F60682" w:rsidRPr="005C6E88" w:rsidRDefault="00F60682">
      <w:pPr>
        <w:rPr>
          <w:rFonts w:ascii="Times New Roman" w:hAnsi="Times New Roman"/>
        </w:rPr>
      </w:pPr>
    </w:p>
    <w:p w:rsidR="00F60682" w:rsidRPr="005C6E88" w:rsidRDefault="00F60682">
      <w:pPr>
        <w:rPr>
          <w:rFonts w:ascii="Times New Roman" w:hAnsi="Times New Roman"/>
        </w:rPr>
      </w:pPr>
    </w:p>
    <w:p w:rsidR="00F60682" w:rsidRPr="005C6E88" w:rsidRDefault="00F60682">
      <w:pPr>
        <w:rPr>
          <w:rFonts w:ascii="Times New Roman" w:hAnsi="Times New Roman"/>
        </w:rPr>
      </w:pPr>
    </w:p>
    <w:p w:rsidR="00F60682" w:rsidRDefault="00F60682" w:rsidP="001D3B3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F60682" w:rsidRPr="005C6E88" w:rsidRDefault="00F60682" w:rsidP="001D3B3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lastRenderedPageBreak/>
        <w:t>Продовження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додатку</w:t>
      </w:r>
      <w:proofErr w:type="spellEnd"/>
      <w:r w:rsidRPr="005C6E88">
        <w:rPr>
          <w:rFonts w:ascii="Times New Roman" w:hAnsi="Times New Roman"/>
          <w:sz w:val="24"/>
          <w:szCs w:val="24"/>
          <w:lang w:val="ru-RU"/>
        </w:rPr>
        <w:t xml:space="preserve"> 1</w:t>
      </w:r>
    </w:p>
    <w:p w:rsidR="00F60682" w:rsidRPr="005C6E88" w:rsidRDefault="00F60682" w:rsidP="005C6E88">
      <w:pPr>
        <w:spacing w:after="0" w:line="240" w:lineRule="auto"/>
        <w:ind w:firstLine="360"/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0"/>
        <w:tblOverlap w:val="never"/>
        <w:tblW w:w="10031" w:type="dxa"/>
        <w:tblLayout w:type="fixed"/>
        <w:tblLook w:val="00A0"/>
      </w:tblPr>
      <w:tblGrid>
        <w:gridCol w:w="491"/>
        <w:gridCol w:w="2736"/>
        <w:gridCol w:w="1417"/>
        <w:gridCol w:w="567"/>
        <w:gridCol w:w="652"/>
        <w:gridCol w:w="1139"/>
        <w:gridCol w:w="1710"/>
        <w:gridCol w:w="1319"/>
      </w:tblGrid>
      <w:tr w:rsidR="00F60682" w:rsidRPr="005C6E88" w:rsidTr="005C6E88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Бак для пласт відходів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3352,00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1676,00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1676,00</w:t>
            </w:r>
          </w:p>
        </w:tc>
      </w:tr>
      <w:tr w:rsidR="00F60682" w:rsidRPr="005C6E88" w:rsidTr="001D3B36">
        <w:trPr>
          <w:trHeight w:val="25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Урна сміттєва металева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111300016/14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12698,00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6349,00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6349,00</w:t>
            </w:r>
          </w:p>
        </w:tc>
      </w:tr>
      <w:tr w:rsidR="00F60682" w:rsidRPr="005C6E88" w:rsidTr="001D3B36">
        <w:trPr>
          <w:trHeight w:val="210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 xml:space="preserve">Інформаційний щит плану сіл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111300017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6E88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5192,00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2596,00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6E88">
              <w:rPr>
                <w:rFonts w:ascii="Times New Roman" w:hAnsi="Times New Roman"/>
                <w:sz w:val="20"/>
                <w:szCs w:val="20"/>
              </w:rPr>
              <w:t>2596,00</w:t>
            </w:r>
          </w:p>
        </w:tc>
      </w:tr>
      <w:tr w:rsidR="00F60682" w:rsidRPr="005C6E88" w:rsidTr="001D3B36">
        <w:trPr>
          <w:trHeight w:val="31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5C6E88">
              <w:rPr>
                <w:rFonts w:ascii="Times New Roman" w:hAnsi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60682" w:rsidRPr="005C6E88" w:rsidRDefault="00F60682" w:rsidP="00AE5D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E88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E88">
              <w:rPr>
                <w:rFonts w:ascii="Times New Roman" w:hAnsi="Times New Roman"/>
                <w:b/>
                <w:bCs/>
              </w:rPr>
              <w:t>42042,00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E88">
              <w:rPr>
                <w:rFonts w:ascii="Times New Roman" w:hAnsi="Times New Roman"/>
                <w:b/>
                <w:bCs/>
              </w:rPr>
              <w:t>21021,00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0682" w:rsidRPr="005C6E88" w:rsidRDefault="00F60682" w:rsidP="00AE5DCD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E88">
              <w:rPr>
                <w:rFonts w:ascii="Times New Roman" w:hAnsi="Times New Roman"/>
                <w:b/>
                <w:bCs/>
              </w:rPr>
              <w:t>21021,00</w:t>
            </w:r>
          </w:p>
        </w:tc>
      </w:tr>
      <w:tr w:rsidR="00F60682" w:rsidRPr="005C6E88" w:rsidTr="001D3B36">
        <w:trPr>
          <w:trHeight w:val="315"/>
        </w:trPr>
        <w:tc>
          <w:tcPr>
            <w:tcW w:w="491" w:type="dxa"/>
            <w:tcBorders>
              <w:top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2736" w:type="dxa"/>
            <w:tcBorders>
              <w:top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noWrap/>
            <w:vAlign w:val="bottom"/>
          </w:tcPr>
          <w:p w:rsidR="00F60682" w:rsidRPr="005C6E88" w:rsidRDefault="00F60682" w:rsidP="00AE5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F60682" w:rsidRPr="005C6E88" w:rsidRDefault="00F60682" w:rsidP="00AE5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652" w:type="dxa"/>
            <w:tcBorders>
              <w:top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319" w:type="dxa"/>
            <w:tcBorders>
              <w:top w:val="single" w:sz="4" w:space="0" w:color="auto"/>
            </w:tcBorders>
            <w:vAlign w:val="center"/>
          </w:tcPr>
          <w:p w:rsidR="00F60682" w:rsidRPr="005C6E88" w:rsidRDefault="00F60682" w:rsidP="00AE5DCD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</w:tbl>
    <w:p w:rsidR="00F60682" w:rsidRPr="0009281F" w:rsidRDefault="00F60682" w:rsidP="000928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                                           Геннадій ДЕРЕВ</w:t>
      </w:r>
      <w:r w:rsidRPr="00AE0C75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ЯНЧУК</w:t>
      </w:r>
    </w:p>
    <w:sectPr w:rsidR="00F60682" w:rsidRPr="0009281F" w:rsidSect="001D3B36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FF5"/>
    <w:multiLevelType w:val="multilevel"/>
    <w:tmpl w:val="1A965E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03009B"/>
    <w:multiLevelType w:val="hybridMultilevel"/>
    <w:tmpl w:val="D33C46B2"/>
    <w:lvl w:ilvl="0" w:tplc="0422000F">
      <w:start w:val="1"/>
      <w:numFmt w:val="decimal"/>
      <w:lvlText w:val="%1."/>
      <w:lvlJc w:val="left"/>
      <w:pPr>
        <w:ind w:left="17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4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1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8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5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3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0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7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460" w:hanging="180"/>
      </w:pPr>
      <w:rPr>
        <w:rFonts w:cs="Times New Roman"/>
      </w:rPr>
    </w:lvl>
  </w:abstractNum>
  <w:abstractNum w:abstractNumId="2">
    <w:nsid w:val="13804BCB"/>
    <w:multiLevelType w:val="multilevel"/>
    <w:tmpl w:val="C11E3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C7C5EE7"/>
    <w:multiLevelType w:val="multilevel"/>
    <w:tmpl w:val="FA1A54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212529"/>
      </w:rPr>
    </w:lvl>
  </w:abstractNum>
  <w:abstractNum w:abstractNumId="5">
    <w:nsid w:val="68CB7954"/>
    <w:multiLevelType w:val="hybridMultilevel"/>
    <w:tmpl w:val="A85E9C2A"/>
    <w:lvl w:ilvl="0" w:tplc="AB5EC9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92743D0"/>
    <w:multiLevelType w:val="multilevel"/>
    <w:tmpl w:val="6444043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78595105"/>
    <w:multiLevelType w:val="multilevel"/>
    <w:tmpl w:val="0C86BC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780"/>
    <w:rsid w:val="00013CBD"/>
    <w:rsid w:val="0003723D"/>
    <w:rsid w:val="0009281F"/>
    <w:rsid w:val="000A1780"/>
    <w:rsid w:val="000E08DC"/>
    <w:rsid w:val="000F180A"/>
    <w:rsid w:val="00111EF4"/>
    <w:rsid w:val="0012353B"/>
    <w:rsid w:val="001744C2"/>
    <w:rsid w:val="00175AFD"/>
    <w:rsid w:val="001A6539"/>
    <w:rsid w:val="001D3384"/>
    <w:rsid w:val="001D3B36"/>
    <w:rsid w:val="001D65F5"/>
    <w:rsid w:val="001E3432"/>
    <w:rsid w:val="00291AAE"/>
    <w:rsid w:val="002A1EA2"/>
    <w:rsid w:val="003A2B28"/>
    <w:rsid w:val="003D2106"/>
    <w:rsid w:val="003D4DBE"/>
    <w:rsid w:val="003D5BD0"/>
    <w:rsid w:val="003E5AF8"/>
    <w:rsid w:val="00417317"/>
    <w:rsid w:val="00435FA7"/>
    <w:rsid w:val="00445211"/>
    <w:rsid w:val="0049607E"/>
    <w:rsid w:val="004B2477"/>
    <w:rsid w:val="004F7030"/>
    <w:rsid w:val="005001E4"/>
    <w:rsid w:val="00564E63"/>
    <w:rsid w:val="00571F4B"/>
    <w:rsid w:val="005A070A"/>
    <w:rsid w:val="005C6E88"/>
    <w:rsid w:val="005D219B"/>
    <w:rsid w:val="005E2BFD"/>
    <w:rsid w:val="00635CBC"/>
    <w:rsid w:val="0068141A"/>
    <w:rsid w:val="00696AB6"/>
    <w:rsid w:val="00707EE0"/>
    <w:rsid w:val="00751D3F"/>
    <w:rsid w:val="007E007E"/>
    <w:rsid w:val="008144F0"/>
    <w:rsid w:val="00832A75"/>
    <w:rsid w:val="00860AE3"/>
    <w:rsid w:val="00865829"/>
    <w:rsid w:val="00891593"/>
    <w:rsid w:val="008921EB"/>
    <w:rsid w:val="008A105C"/>
    <w:rsid w:val="008D589D"/>
    <w:rsid w:val="008E53FC"/>
    <w:rsid w:val="00943B99"/>
    <w:rsid w:val="0098788D"/>
    <w:rsid w:val="009B685E"/>
    <w:rsid w:val="009D6007"/>
    <w:rsid w:val="009E2DB6"/>
    <w:rsid w:val="00A36A43"/>
    <w:rsid w:val="00A45BCA"/>
    <w:rsid w:val="00A47E49"/>
    <w:rsid w:val="00AE0C75"/>
    <w:rsid w:val="00AE5DCD"/>
    <w:rsid w:val="00AF2B45"/>
    <w:rsid w:val="00B67346"/>
    <w:rsid w:val="00B779D5"/>
    <w:rsid w:val="00B83FA1"/>
    <w:rsid w:val="00C31764"/>
    <w:rsid w:val="00C35387"/>
    <w:rsid w:val="00C42C55"/>
    <w:rsid w:val="00CD3076"/>
    <w:rsid w:val="00D32180"/>
    <w:rsid w:val="00D33ADA"/>
    <w:rsid w:val="00D62D40"/>
    <w:rsid w:val="00D775DC"/>
    <w:rsid w:val="00DB4D12"/>
    <w:rsid w:val="00DD2055"/>
    <w:rsid w:val="00DE061F"/>
    <w:rsid w:val="00DF0376"/>
    <w:rsid w:val="00E60D86"/>
    <w:rsid w:val="00E617F7"/>
    <w:rsid w:val="00E62424"/>
    <w:rsid w:val="00E74834"/>
    <w:rsid w:val="00F14AF2"/>
    <w:rsid w:val="00F60682"/>
    <w:rsid w:val="00FB7FEC"/>
    <w:rsid w:val="00FC4990"/>
    <w:rsid w:val="00FE059C"/>
    <w:rsid w:val="00FF072E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E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uiPriority w:val="99"/>
    <w:rsid w:val="00E617F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E617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ий текст (3)_"/>
    <w:basedOn w:val="a0"/>
    <w:link w:val="30"/>
    <w:uiPriority w:val="99"/>
    <w:locked/>
    <w:rsid w:val="001A653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1A6539"/>
    <w:pPr>
      <w:widowControl w:val="0"/>
      <w:shd w:val="clear" w:color="auto" w:fill="FFFFFF"/>
      <w:spacing w:before="240" w:after="240" w:line="317" w:lineRule="exac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ий текст (2)_"/>
    <w:basedOn w:val="a0"/>
    <w:link w:val="20"/>
    <w:uiPriority w:val="99"/>
    <w:locked/>
    <w:rsid w:val="001A653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1A653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99"/>
    <w:qFormat/>
    <w:rsid w:val="001A6539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1A6539"/>
    <w:pPr>
      <w:ind w:firstLine="360"/>
    </w:pPr>
    <w:rPr>
      <w:rFonts w:eastAsia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1A6539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  <w:lang w:eastAsia="uk-UA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A6539"/>
    <w:rPr>
      <w:rFonts w:ascii="Tahoma" w:hAnsi="Tahoma" w:cs="Tahoma"/>
      <w:color w:val="000000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3211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Userr</cp:lastModifiedBy>
  <cp:revision>4</cp:revision>
  <cp:lastPrinted>2021-02-26T09:52:00Z</cp:lastPrinted>
  <dcterms:created xsi:type="dcterms:W3CDTF">2021-02-26T10:07:00Z</dcterms:created>
  <dcterms:modified xsi:type="dcterms:W3CDTF">2021-03-01T09:37:00Z</dcterms:modified>
</cp:coreProperties>
</file>