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55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Одинадцята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5D4881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  серпня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609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5417F5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C354E" w:rsidRPr="00CC354E" w:rsidRDefault="005417F5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61FD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DF3ACD">
        <w:t xml:space="preserve"> 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</w:t>
      </w:r>
      <w:r w:rsidR="00CF61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</w:t>
      </w:r>
      <w:r w:rsidR="00DF3ACD" w:rsidRPr="00C5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F3AC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09.06.2021 №6</w:t>
      </w:r>
      <w:r w:rsidR="00CF616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F3AC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«Про розподіл у 2021 році субвенції з державного бюджету місцевим бюджетам на </w:t>
      </w:r>
      <w:r w:rsidR="00CF616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 заходів, спрямованих на підвищення доступності широкосмугового доступу до Інтернету в сільській місцевості</w:t>
      </w:r>
      <w:r w:rsidR="00DF3AC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F616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93FE3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30.06.2021 №696-р «Про затвердження розподілу обсягу субвенції з державного бюджету місцев</w:t>
      </w:r>
      <w:r w:rsidR="00CA093A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93FE3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CA093A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93FE3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створення мережі спеціалізованих служб підтримки осіб, які постраждали від домашнього насильства та/або насильства за ознакою статі, у 2021 році»</w:t>
      </w:r>
      <w:r w:rsidR="00DF3ACD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7732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21.07.2021 №822-р </w:t>
      </w:r>
      <w:r w:rsidR="00E76CA6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7732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територій», </w:t>
      </w:r>
      <w:r w:rsidR="00BE7125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</w:t>
      </w:r>
      <w:r w:rsidR="00240F87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7125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Рівненської обласної державної адміністрації від 07.07.2021 №503 «Про розподіл субвенції з державного бюджету місцевим бюджетам на здійснення підтримки окремих закладів та заходів у системі охорони здоров’я на 2021 рік», </w:t>
      </w:r>
      <w:r w:rsidR="00240F87" w:rsidRPr="009D3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12.07.2021 №512 «Про розподіл</w:t>
      </w:r>
      <w:r w:rsidR="00240F87" w:rsidRPr="00C5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субвенцій </w:t>
      </w:r>
      <w:r w:rsidR="00240F87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бюджету</w:t>
      </w:r>
      <w:r w:rsidR="00122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рік</w:t>
      </w:r>
      <w:r w:rsidR="0024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Рівненської обласної ради від 11.03.2021 №148 «Про внесення змін до обласного бюджету Рі</w:t>
      </w:r>
      <w:r w:rsidR="0024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вненської області на 2021 рік»</w:t>
      </w:r>
      <w:r w:rsidR="00D851FC" w:rsidRPr="00837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D851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2716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пленарного засідання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серпня 2021 року одинадцятої сесії Вараської міської ради восьмого скликання,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5417F5" w:rsidRDefault="005417F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CD5B25" w:rsidRDefault="00933516" w:rsidP="000F00D9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CD5B25">
        <w:t xml:space="preserve"> 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CD5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CF616D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4F2E50" w:rsidRPr="004F2E50" w:rsidRDefault="00DF3ACD" w:rsidP="000F00D9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 територіальної громади на 2021 рік на</w:t>
      </w:r>
      <w:r w:rsidRPr="00CF61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03CDA" w:rsidRPr="00E03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51 073 209</w:t>
      </w:r>
      <w:r w:rsidRPr="00E0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1) </w:t>
      </w:r>
      <w:r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106084"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084" w:rsidRPr="00106084" w:rsidRDefault="004F2E50" w:rsidP="000F00D9">
      <w:pPr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перевиконання</w:t>
      </w:r>
      <w:r w:rsid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доходної частини загального фонду бюджету Вараської міської територіальної громади за сім місяців</w:t>
      </w:r>
      <w:r w:rsid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року на </w:t>
      </w:r>
      <w:r w:rsidR="00E03CDA" w:rsidRPr="00E03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47 711 239</w:t>
      </w:r>
      <w:r w:rsidR="00933516" w:rsidRPr="00E0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грн;</w:t>
      </w:r>
      <w:r w:rsid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DF3ACD" w:rsidRDefault="00C62B3C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F3ACD" w:rsidRPr="004F2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4F2E50" w:rsidRPr="004F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E50" w:rsidRPr="004F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33516" w:rsidRPr="004F082E">
        <w:rPr>
          <w:rFonts w:ascii="Times New Roman" w:eastAsia="Times New Roman" w:hAnsi="Times New Roman" w:cs="Times New Roman"/>
          <w:sz w:val="28"/>
          <w:szCs w:val="28"/>
          <w:lang w:eastAsia="ru-RU"/>
        </w:rPr>
        <w:t>3 361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3516" w:rsidRPr="004F082E">
        <w:rPr>
          <w:rFonts w:ascii="Times New Roman" w:eastAsia="Times New Roman" w:hAnsi="Times New Roman" w:cs="Times New Roman"/>
          <w:sz w:val="28"/>
          <w:szCs w:val="28"/>
          <w:lang w:eastAsia="ru-RU"/>
        </w:rPr>
        <w:t>970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51B61" w:rsidRDefault="00E970FD" w:rsidP="000F00D9">
      <w:pPr>
        <w:pStyle w:val="a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r w:rsidR="00851B61"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ільшити доходи спеціального фонду Вараської міської територіальної громади на 202</w:t>
      </w:r>
      <w:r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1B61"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</w:t>
      </w:r>
      <w:r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>1 000 000</w:t>
      </w:r>
      <w:r w:rsidR="00851B61" w:rsidRPr="00106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0F00D9" w:rsidRPr="00106084" w:rsidRDefault="000F00D9" w:rsidP="000F00D9">
      <w:pPr>
        <w:pStyle w:val="a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CEC" w:rsidRPr="001A16B1" w:rsidRDefault="00CC354E" w:rsidP="000F00D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0F87"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>35 099 179</w:t>
      </w:r>
      <w:r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604CEC" w:rsidRPr="001A16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7ACF" w:rsidRDefault="00FB7ACF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B7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FB7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422 900 грн;</w:t>
      </w:r>
    </w:p>
    <w:p w:rsidR="00FB7ACF" w:rsidRPr="00FB7ACF" w:rsidRDefault="00FB7ACF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 на суму 272 356 грн;</w:t>
      </w:r>
    </w:p>
    <w:p w:rsidR="00FB7ACF" w:rsidRPr="00FB7ACF" w:rsidRDefault="00FB7ACF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 на суму 431 875 грн;</w:t>
      </w:r>
    </w:p>
    <w:p w:rsidR="00FB7ACF" w:rsidRDefault="006E7DFB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перевиконання 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доходної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частини  загального фонду  бюджету  на  суму </w:t>
      </w:r>
      <w:r w:rsidR="00FB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5F8" w:rsidRPr="00726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33 972 048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="0018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85DA1" w:rsidRDefault="00185DA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A1" w:rsidRPr="00BE3DB3" w:rsidRDefault="00CD6F48" w:rsidP="000F00D9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>16 392 998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 видатки бюджету розвитку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спеціального фонду бюджету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суму 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>16 324 030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додатків 3, </w:t>
      </w:r>
      <w:r w:rsidR="006E7DFB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DA1" w:rsidRPr="00BE3DB3" w:rsidRDefault="000F00D9" w:rsidP="000F00D9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 субвенції з місцевого бюджету на суму 1 000 000 грн;</w:t>
      </w:r>
    </w:p>
    <w:p w:rsidR="00185DA1" w:rsidRPr="00BE3DB3" w:rsidRDefault="00185DA1" w:rsidP="000F00D9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залишку коштів спеціального фонду бюджету, що утворився на кінець 2020 року, на суму 68 968 грн, з них фонду охорони навколишнього природного середовища на суму 68 968 грн;</w:t>
      </w:r>
    </w:p>
    <w:p w:rsidR="001F58FA" w:rsidRPr="00BE3DB3" w:rsidRDefault="00FB4355" w:rsidP="000F00D9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F48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 бюджету розвитку  (спеціального </w:t>
      </w:r>
      <w:r w:rsidR="001F58FA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фонду)</w:t>
      </w:r>
      <w:r w:rsidR="00185DA1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>15 324 030</w:t>
      </w:r>
      <w:r w:rsidR="00BE3DB3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F58FA" w:rsidRPr="00BE3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тому числі за рахунок:</w:t>
      </w:r>
    </w:p>
    <w:p w:rsidR="006E7DFB" w:rsidRPr="00FB7ACF" w:rsidRDefault="006E7DFB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227 600</w:t>
      </w:r>
      <w:r w:rsidRPr="00FB7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1F58FA" w:rsidRPr="006E7DFB" w:rsidRDefault="006E7DFB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місцевого бюджету на виплату грошової компенсації за належні для отримання жилі приміщення для сімей осіб, визначених абзацами 5 - 8 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 на суму 534 479 грн;</w:t>
      </w:r>
    </w:p>
    <w:p w:rsidR="00352FC0" w:rsidRDefault="00185DA1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BD4">
        <w:rPr>
          <w:rFonts w:ascii="Times New Roman" w:hAnsi="Times New Roman" w:cs="Times New Roman"/>
          <w:sz w:val="28"/>
          <w:szCs w:val="28"/>
        </w:rPr>
        <w:t>субвенції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III групи відповідно до пунктів 11 - 14 частини другої статті 7 або учасниками бойових дій відповідно до пунктів 19 - 20 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="001F58FA" w:rsidRPr="003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367BD4">
        <w:rPr>
          <w:rFonts w:ascii="Times New Roman" w:eastAsia="Times New Roman" w:hAnsi="Times New Roman" w:cs="Times New Roman"/>
          <w:sz w:val="28"/>
          <w:szCs w:val="28"/>
          <w:lang w:eastAsia="ru-RU"/>
        </w:rPr>
        <w:t>828 760</w:t>
      </w:r>
      <w:r w:rsidR="001F58FA" w:rsidRPr="003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1F58FA" w:rsidRDefault="00352FC0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</w:t>
      </w:r>
      <w:r w:rsidRPr="0035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 на здійснення заходів щодо соціально-економічного розвитку окремих територій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 644 000 грн.</w:t>
      </w:r>
    </w:p>
    <w:p w:rsidR="008D17CC" w:rsidRDefault="008D17CC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D0" w:rsidRPr="00E574C7" w:rsidRDefault="001721D0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Затвердити надання кредитів з бюджету Вараської міської територіальної громади у сумі 1 000 000  грн</w:t>
      </w:r>
      <w:r w:rsidR="00AE392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(додаток 4)</w:t>
      </w: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у тому числі:</w:t>
      </w:r>
    </w:p>
    <w:p w:rsidR="001721D0" w:rsidRPr="00E574C7" w:rsidRDefault="001721D0" w:rsidP="00884BC9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надання кредитів із загального фонду </w:t>
      </w:r>
      <w:r w:rsidR="00C82D3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сумі </w:t>
      </w: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650 000 грн;</w:t>
      </w:r>
    </w:p>
    <w:p w:rsidR="001721D0" w:rsidRDefault="001721D0" w:rsidP="000F00D9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надання кредитів із спеціального фонду </w:t>
      </w:r>
      <w:r w:rsidR="00C82D3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сумі</w:t>
      </w: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350 000 грн, з них за рахунок залишку коштів спеціального фонду </w:t>
      </w:r>
      <w:r w:rsidR="00F6702C"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r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пільго</w:t>
      </w:r>
      <w:r w:rsidR="00F6702C"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ві довгострокові кредити молодим </w:t>
      </w:r>
      <w:r w:rsidR="00E574C7"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сім’ям</w:t>
      </w:r>
      <w:r w:rsidR="00F6702C" w:rsidRP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одиноким</w:t>
      </w:r>
      <w:r w:rsid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молодим громадянам на будівництво/</w:t>
      </w:r>
      <w:r w:rsidR="005417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реконструкцію/</w:t>
      </w:r>
      <w:r w:rsidR="005417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придбання житла</w:t>
      </w:r>
      <w:r w:rsidR="008E26A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 w:rsidR="00E574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суму  350 000 грн.</w:t>
      </w:r>
    </w:p>
    <w:p w:rsidR="00E574C7" w:rsidRPr="00E574C7" w:rsidRDefault="00E574C7" w:rsidP="000F00D9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</w:t>
      </w:r>
      <w:r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60242"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266D79"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>3 057 587,</w:t>
      </w:r>
      <w:r w:rsid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02"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C16BA6"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54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 </w:t>
      </w:r>
      <w:r w:rsidR="00D26337">
        <w:rPr>
          <w:rFonts w:ascii="Times New Roman" w:eastAsia="Times New Roman" w:hAnsi="Times New Roman" w:cs="Times New Roman"/>
          <w:sz w:val="28"/>
          <w:szCs w:val="28"/>
          <w:lang w:eastAsia="ru-RU"/>
        </w:rPr>
        <w:t>101 868</w:t>
      </w:r>
      <w:r w:rsidR="00A97E80"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</w:t>
      </w:r>
      <w:r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покриття якого визначити кошти, що передаються із загального фонду бюджету до бюджету розвитку </w:t>
      </w:r>
      <w:r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(спеціального фонду) в сумі </w:t>
      </w:r>
      <w:r w:rsidR="00E574C7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6337">
        <w:rPr>
          <w:rFonts w:ascii="Times New Roman" w:eastAsia="Times New Roman" w:hAnsi="Times New Roman" w:cs="Times New Roman"/>
          <w:sz w:val="28"/>
          <w:szCs w:val="28"/>
          <w:lang w:eastAsia="ru-RU"/>
        </w:rPr>
        <w:t>9 933 320</w:t>
      </w:r>
      <w:r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4C7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D79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</w:t>
      </w:r>
      <w:r w:rsidR="00E574C7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F1"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C8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C82D38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8E26AC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26AC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8E26AC"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з укладанням відповідних договорів.</w:t>
      </w:r>
    </w:p>
    <w:p w:rsidR="000F00D9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E01B1"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BE01B1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E01B1"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BE01B1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Default="00DF3ACD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E03CDA" w:rsidRPr="00A658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773</w:t>
      </w:r>
      <w:r w:rsidR="00E03CDA" w:rsidRPr="00A658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03CDA" w:rsidRPr="00A658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990 946</w:t>
      </w:r>
      <w:r w:rsidR="00686077" w:rsidRPr="00A65876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A6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0F00D9" w:rsidRPr="00686077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0D0">
        <w:rPr>
          <w:rFonts w:ascii="Times New Roman" w:eastAsia="Times New Roman" w:hAnsi="Times New Roman" w:cs="Times New Roman"/>
          <w:sz w:val="28"/>
          <w:szCs w:val="28"/>
          <w:lang w:eastAsia="ru-RU"/>
        </w:rPr>
        <w:t>730 283 358, 98</w:t>
      </w: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5B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r w:rsid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громади у сумі 650 000 грн</w:t>
      </w:r>
      <w:r w:rsidRPr="00BE0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BE01B1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73A4D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0F00D9" w:rsidRPr="00B73A4D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0D0" w:rsidRDefault="00AD60D0" w:rsidP="00307F13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іншу субвенцію районному бюджету Вараського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району. Міському голові укласти відповідний договір, у якому передбачити процедуру, терміни та умови надання субвенції.</w:t>
      </w:r>
    </w:p>
    <w:p w:rsidR="00307F13" w:rsidRDefault="00307F13" w:rsidP="00307F1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F13" w:rsidRDefault="00307F13" w:rsidP="00307F13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іншу субвенцію бюджету Сарненської міської територіальної громади. Міському голові укласти відповідний договір, у якому передбачити процедуру, терміни та умови надання субвенції.</w:t>
      </w:r>
    </w:p>
    <w:p w:rsidR="00AD60D0" w:rsidRDefault="00AD60D0" w:rsidP="00181172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73A4D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</w:t>
      </w: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питань діяльності виконавчих органів ради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CF616D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2A54C9" w:rsidP="00CC354E">
      <w:pPr>
        <w:tabs>
          <w:tab w:val="left" w:pos="0"/>
        </w:tabs>
        <w:ind w:firstLine="851"/>
      </w:pPr>
    </w:p>
    <w:sectPr w:rsidR="006A40ED" w:rsidRPr="00EB3628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C9" w:rsidRDefault="002A54C9">
      <w:pPr>
        <w:spacing w:after="0" w:line="240" w:lineRule="auto"/>
      </w:pPr>
      <w:r>
        <w:separator/>
      </w:r>
    </w:p>
  </w:endnote>
  <w:endnote w:type="continuationSeparator" w:id="0">
    <w:p w:rsidR="002A54C9" w:rsidRDefault="002A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2A54C9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2A54C9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C9" w:rsidRDefault="002A54C9">
      <w:pPr>
        <w:spacing w:after="0" w:line="240" w:lineRule="auto"/>
      </w:pPr>
      <w:r>
        <w:separator/>
      </w:r>
    </w:p>
  </w:footnote>
  <w:footnote w:type="continuationSeparator" w:id="0">
    <w:p w:rsidR="002A54C9" w:rsidRDefault="002A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245E">
      <w:rPr>
        <w:noProof/>
      </w:rPr>
      <w:t>5</w:t>
    </w:r>
    <w:r>
      <w:fldChar w:fldCharType="end"/>
    </w:r>
  </w:p>
  <w:p w:rsidR="009B27CE" w:rsidRDefault="002A54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93FE3"/>
    <w:rsid w:val="000971F8"/>
    <w:rsid w:val="000A2644"/>
    <w:rsid w:val="000F00D9"/>
    <w:rsid w:val="000F03F2"/>
    <w:rsid w:val="00106084"/>
    <w:rsid w:val="00114799"/>
    <w:rsid w:val="001229B6"/>
    <w:rsid w:val="001721D0"/>
    <w:rsid w:val="00174ED6"/>
    <w:rsid w:val="00181172"/>
    <w:rsid w:val="00185DA1"/>
    <w:rsid w:val="001A16B1"/>
    <w:rsid w:val="001A52E2"/>
    <w:rsid w:val="001B2FD1"/>
    <w:rsid w:val="001C6ADB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6D79"/>
    <w:rsid w:val="0027162A"/>
    <w:rsid w:val="00293898"/>
    <w:rsid w:val="00295B58"/>
    <w:rsid w:val="002A54C9"/>
    <w:rsid w:val="002B0242"/>
    <w:rsid w:val="002B0D02"/>
    <w:rsid w:val="002C1A67"/>
    <w:rsid w:val="002C424B"/>
    <w:rsid w:val="002E03C0"/>
    <w:rsid w:val="002E5C98"/>
    <w:rsid w:val="00305E24"/>
    <w:rsid w:val="00307F13"/>
    <w:rsid w:val="003150F4"/>
    <w:rsid w:val="00334A3C"/>
    <w:rsid w:val="00352FC0"/>
    <w:rsid w:val="00356825"/>
    <w:rsid w:val="00367BD4"/>
    <w:rsid w:val="003B4196"/>
    <w:rsid w:val="003B4BF1"/>
    <w:rsid w:val="003D3EFE"/>
    <w:rsid w:val="003D6DAF"/>
    <w:rsid w:val="003E2CC7"/>
    <w:rsid w:val="0041077C"/>
    <w:rsid w:val="00433404"/>
    <w:rsid w:val="00462E20"/>
    <w:rsid w:val="00464FCD"/>
    <w:rsid w:val="00481A90"/>
    <w:rsid w:val="004A3C0F"/>
    <w:rsid w:val="004C6653"/>
    <w:rsid w:val="004D0446"/>
    <w:rsid w:val="004E2305"/>
    <w:rsid w:val="004F082E"/>
    <w:rsid w:val="004F2E50"/>
    <w:rsid w:val="00512B2C"/>
    <w:rsid w:val="0051697A"/>
    <w:rsid w:val="005417F5"/>
    <w:rsid w:val="005522D9"/>
    <w:rsid w:val="00585915"/>
    <w:rsid w:val="005924B0"/>
    <w:rsid w:val="00595EA9"/>
    <w:rsid w:val="005B0258"/>
    <w:rsid w:val="005B5F3E"/>
    <w:rsid w:val="005D4881"/>
    <w:rsid w:val="00603D5C"/>
    <w:rsid w:val="00604CEC"/>
    <w:rsid w:val="00614CE8"/>
    <w:rsid w:val="00615935"/>
    <w:rsid w:val="006175E7"/>
    <w:rsid w:val="0067528E"/>
    <w:rsid w:val="00686077"/>
    <w:rsid w:val="006B58A9"/>
    <w:rsid w:val="006B7D11"/>
    <w:rsid w:val="006E48F5"/>
    <w:rsid w:val="006E6A0F"/>
    <w:rsid w:val="006E6B5E"/>
    <w:rsid w:val="006E7DFB"/>
    <w:rsid w:val="006F04C1"/>
    <w:rsid w:val="006F7FB1"/>
    <w:rsid w:val="0072014E"/>
    <w:rsid w:val="007265F8"/>
    <w:rsid w:val="00730838"/>
    <w:rsid w:val="007336A8"/>
    <w:rsid w:val="00771C24"/>
    <w:rsid w:val="00791304"/>
    <w:rsid w:val="007C04DF"/>
    <w:rsid w:val="007D06AC"/>
    <w:rsid w:val="00802569"/>
    <w:rsid w:val="00812E78"/>
    <w:rsid w:val="00835AF3"/>
    <w:rsid w:val="00837732"/>
    <w:rsid w:val="00851B61"/>
    <w:rsid w:val="00884BC9"/>
    <w:rsid w:val="00895E19"/>
    <w:rsid w:val="008B584F"/>
    <w:rsid w:val="008B6E61"/>
    <w:rsid w:val="008C6F7A"/>
    <w:rsid w:val="008D17CC"/>
    <w:rsid w:val="008E26AC"/>
    <w:rsid w:val="008F1F2B"/>
    <w:rsid w:val="008F6994"/>
    <w:rsid w:val="00933516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47D56"/>
    <w:rsid w:val="00A65876"/>
    <w:rsid w:val="00A65982"/>
    <w:rsid w:val="00A67B1C"/>
    <w:rsid w:val="00A85FF6"/>
    <w:rsid w:val="00A9245E"/>
    <w:rsid w:val="00A97E80"/>
    <w:rsid w:val="00AB7EBF"/>
    <w:rsid w:val="00AD60D0"/>
    <w:rsid w:val="00AE3926"/>
    <w:rsid w:val="00AE5669"/>
    <w:rsid w:val="00AE6BEE"/>
    <w:rsid w:val="00AF2D97"/>
    <w:rsid w:val="00B21236"/>
    <w:rsid w:val="00B2243A"/>
    <w:rsid w:val="00B30EC6"/>
    <w:rsid w:val="00B552F9"/>
    <w:rsid w:val="00B6634D"/>
    <w:rsid w:val="00B73A4D"/>
    <w:rsid w:val="00B92E83"/>
    <w:rsid w:val="00BB0E21"/>
    <w:rsid w:val="00BC6515"/>
    <w:rsid w:val="00BD0351"/>
    <w:rsid w:val="00BD65D7"/>
    <w:rsid w:val="00BE01B1"/>
    <w:rsid w:val="00BE3DB3"/>
    <w:rsid w:val="00BE7125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A093A"/>
    <w:rsid w:val="00CA4E20"/>
    <w:rsid w:val="00CC354E"/>
    <w:rsid w:val="00CD5B25"/>
    <w:rsid w:val="00CD6F48"/>
    <w:rsid w:val="00CD79E4"/>
    <w:rsid w:val="00CF616D"/>
    <w:rsid w:val="00D0208E"/>
    <w:rsid w:val="00D152D1"/>
    <w:rsid w:val="00D26337"/>
    <w:rsid w:val="00D3149E"/>
    <w:rsid w:val="00D31F87"/>
    <w:rsid w:val="00D347DB"/>
    <w:rsid w:val="00D428F4"/>
    <w:rsid w:val="00D5364F"/>
    <w:rsid w:val="00D851FC"/>
    <w:rsid w:val="00DA1A05"/>
    <w:rsid w:val="00DB723D"/>
    <w:rsid w:val="00DD6805"/>
    <w:rsid w:val="00DF3ACD"/>
    <w:rsid w:val="00E03CDA"/>
    <w:rsid w:val="00E07B73"/>
    <w:rsid w:val="00E17772"/>
    <w:rsid w:val="00E456DA"/>
    <w:rsid w:val="00E50D4E"/>
    <w:rsid w:val="00E574C7"/>
    <w:rsid w:val="00E76CA6"/>
    <w:rsid w:val="00E970FD"/>
    <w:rsid w:val="00EB3628"/>
    <w:rsid w:val="00F348C9"/>
    <w:rsid w:val="00F3734D"/>
    <w:rsid w:val="00F6702C"/>
    <w:rsid w:val="00F861BD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7FB4"/>
  <w15:docId w15:val="{0BE7010D-BF87-4823-A67F-D902F12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16</cp:revision>
  <cp:lastPrinted>2021-08-20T07:32:00Z</cp:lastPrinted>
  <dcterms:created xsi:type="dcterms:W3CDTF">2021-08-20T07:35:00Z</dcterms:created>
  <dcterms:modified xsi:type="dcterms:W3CDTF">2021-08-27T12:24:00Z</dcterms:modified>
</cp:coreProperties>
</file>