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D1FE8" w14:textId="3EE727D4" w:rsidR="00DB50DC" w:rsidRPr="00DB50DC" w:rsidRDefault="008550A5" w:rsidP="008550A5">
      <w:pPr>
        <w:spacing w:after="0" w:line="240" w:lineRule="auto"/>
        <w:ind w:left="2835"/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</w:pPr>
      <w:r w:rsidRPr="00AE50E4"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  <w:t xml:space="preserve">                      </w:t>
      </w:r>
      <w:r w:rsidR="00DB50DC" w:rsidRPr="00DB50DC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61CAC2AE" wp14:editId="3A9B77D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BF40" w14:textId="77777777" w:rsidR="00DB50DC" w:rsidRPr="00DB50DC" w:rsidRDefault="00DB50DC" w:rsidP="00DB50DC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eastAsia="ru-RU"/>
        </w:rPr>
      </w:pPr>
    </w:p>
    <w:p w14:paraId="49CEEE63" w14:textId="77777777" w:rsidR="00DB50DC" w:rsidRPr="00DB50DC" w:rsidRDefault="00DB50DC" w:rsidP="00DB50DC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229C3AA3" w14:textId="73F73B85" w:rsidR="00DB50DC" w:rsidRPr="00DB50DC" w:rsidRDefault="008550A5" w:rsidP="00DB50DC">
      <w:pPr>
        <w:spacing w:after="24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8550A5">
        <w:rPr>
          <w:rFonts w:ascii="Times New Roman" w:eastAsia="Batang" w:hAnsi="Times New Roman" w:cs="Times New Roman"/>
          <w:b/>
          <w:sz w:val="28"/>
          <w:szCs w:val="28"/>
          <w:lang w:val="ru-RU" w:eastAsia="ru-RU"/>
        </w:rPr>
        <w:t>30</w:t>
      </w:r>
      <w:r w:rsidRPr="008550A5">
        <w:rPr>
          <w:rFonts w:ascii="Times New Roman" w:eastAsia="Batang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B50DC" w:rsidRPr="00DB50DC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сесія</w:t>
      </w:r>
      <w:r w:rsidR="00DB50DC" w:rsidRPr="00DB50DC">
        <w:rPr>
          <w:rFonts w:ascii="Times New Roman" w:eastAsia="Batang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B50DC" w:rsidRPr="00DB50DC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VIII</w:t>
      </w:r>
      <w:r w:rsidR="00DB50DC" w:rsidRPr="00DB50DC">
        <w:rPr>
          <w:rFonts w:ascii="Times New Roman" w:eastAsia="Batang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B50DC" w:rsidRPr="00DB50DC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скликання</w:t>
      </w:r>
    </w:p>
    <w:p w14:paraId="5E823D8E" w14:textId="77777777" w:rsidR="00DB50DC" w:rsidRPr="00DB50DC" w:rsidRDefault="00DB50DC" w:rsidP="00DB50DC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45804F38" w14:textId="77777777" w:rsidR="00DB50DC" w:rsidRPr="00DB50DC" w:rsidRDefault="00DB50DC" w:rsidP="00DB50DC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DB50DC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DB50DC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DB50DC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</w:t>
      </w:r>
    </w:p>
    <w:p w14:paraId="666C00FE" w14:textId="77777777" w:rsidR="00DB50DC" w:rsidRPr="00DB50DC" w:rsidRDefault="00DB50DC" w:rsidP="00DB50DC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40"/>
          <w:szCs w:val="40"/>
          <w:lang w:eastAsia="ru-RU"/>
        </w:rPr>
      </w:pPr>
    </w:p>
    <w:p w14:paraId="586EEE75" w14:textId="3FA637D3" w:rsidR="00DB50DC" w:rsidRDefault="00AE50E4" w:rsidP="00AE50E4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</w:pPr>
      <w:r w:rsidRPr="00AE50E4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09.02.2023 </w:t>
      </w:r>
      <w:r w:rsidRPr="00AE50E4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року               </w:t>
      </w:r>
      <w:r w:rsidRPr="00AE50E4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            </w:t>
      </w:r>
      <w:r w:rsidRPr="00AE50E4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E50E4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м.Вараш</w:t>
      </w:r>
      <w:proofErr w:type="spellEnd"/>
      <w:r w:rsidRPr="00AE50E4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                  </w:t>
      </w:r>
      <w:r w:rsidRPr="00AE50E4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№1811-РР-</w:t>
      </w:r>
      <w:r w:rsidRPr="00AE50E4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</w:p>
    <w:p w14:paraId="66B87DE8" w14:textId="77777777" w:rsidR="00AE50E4" w:rsidRPr="00AE50E4" w:rsidRDefault="00AE50E4" w:rsidP="00AE50E4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DB50DC" w:rsidRPr="00DB50DC" w14:paraId="6058C44D" w14:textId="77777777" w:rsidTr="0075475C">
        <w:trPr>
          <w:trHeight w:val="1413"/>
        </w:trPr>
        <w:tc>
          <w:tcPr>
            <w:tcW w:w="4644" w:type="dxa"/>
            <w:shd w:val="clear" w:color="auto" w:fill="auto"/>
          </w:tcPr>
          <w:p w14:paraId="32BEE4B5" w14:textId="77777777" w:rsidR="00DB50DC" w:rsidRPr="00DB50DC" w:rsidRDefault="00DB50DC" w:rsidP="00DB50DC">
            <w:pPr>
              <w:spacing w:after="0" w:line="240" w:lineRule="auto"/>
              <w:jc w:val="both"/>
              <w:rPr>
                <w:rFonts w:ascii="Times New Roman CYR" w:eastAsia="Batang" w:hAnsi="Times New Roman CYR" w:cs="Times New Roman"/>
                <w:bCs/>
                <w:sz w:val="28"/>
                <w:szCs w:val="28"/>
                <w:lang w:eastAsia="ru-RU"/>
              </w:rPr>
            </w:pPr>
            <w:r w:rsidRPr="00DB50DC">
              <w:rPr>
                <w:rFonts w:ascii="Times New Roman CYR" w:eastAsia="Batang" w:hAnsi="Times New Roman CYR" w:cs="Times New Roman"/>
                <w:bCs/>
                <w:sz w:val="28"/>
                <w:szCs w:val="28"/>
                <w:lang w:eastAsia="ru-RU"/>
              </w:rPr>
              <w:t>Звіт про здійснення державної регуляторної політики виконавчими органами Вараської міської ради за 2022 рік</w:t>
            </w:r>
          </w:p>
        </w:tc>
      </w:tr>
    </w:tbl>
    <w:p w14:paraId="486FA1ED" w14:textId="77777777" w:rsidR="00DB50DC" w:rsidRPr="00DB50DC" w:rsidRDefault="00DB50DC" w:rsidP="00DB50DC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7DA3E6C6" w14:textId="77777777" w:rsidR="00DB50DC" w:rsidRPr="00DB50DC" w:rsidRDefault="00DB50DC" w:rsidP="00DB50DC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  <w:t xml:space="preserve">Заслухавши звіт міського голови про здійснення державної регуляторної політики виконавчими органами Вараської міської ради за 2022 рік, на виконання статті 38 Закону України «Про засади державної регуляторної політики у сфері господарської діяльності», керуючись пунктом 9 частини 1 статті 26 Закону України «Про місцеве самоврядування в Україні», </w:t>
      </w: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за погодженням з постійною депутатською комісією 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</w:t>
      </w:r>
      <w:r w:rsidRPr="00DB50DC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питань бюджету, фінансів, економічного розвитку та інвестиційної політики,</w:t>
      </w: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Вараська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міська рада</w:t>
      </w:r>
    </w:p>
    <w:p w14:paraId="13D9266E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0CA3FE0A" w14:textId="77777777" w:rsidR="00DB50DC" w:rsidRPr="00DB50DC" w:rsidRDefault="00DB50DC" w:rsidP="00DB50DC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ВИРІШИЛА:</w:t>
      </w:r>
    </w:p>
    <w:p w14:paraId="0A558254" w14:textId="77777777" w:rsidR="00DB50DC" w:rsidRPr="00DB50DC" w:rsidRDefault="00DB50DC" w:rsidP="00DB50DC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0D7588F1" w14:textId="77777777" w:rsidR="00DB50DC" w:rsidRPr="00DB50DC" w:rsidRDefault="00DB50DC" w:rsidP="00DB50DC">
      <w:pPr>
        <w:spacing w:after="0" w:line="240" w:lineRule="auto"/>
        <w:ind w:firstLine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1. Звіт про здійснення державної регуляторної політики виконавчими органами Вараської міської ради за 2022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рік взяти до відома (додається).</w:t>
      </w:r>
    </w:p>
    <w:p w14:paraId="71133068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08350217" w14:textId="77777777" w:rsidR="00DB50DC" w:rsidRPr="00DB50DC" w:rsidRDefault="00DB50DC" w:rsidP="00DB50DC">
      <w:pPr>
        <w:spacing w:after="0" w:line="240" w:lineRule="auto"/>
        <w:ind w:firstLine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2. Контроль за виконанням рішення покласти на постійну комісію з питань бюджету, фінансів, економічного розвитку та інвестиційної політики.</w:t>
      </w:r>
    </w:p>
    <w:p w14:paraId="749DED04" w14:textId="77777777" w:rsidR="00DB50DC" w:rsidRPr="00DB50DC" w:rsidRDefault="00DB50DC" w:rsidP="00DB50DC">
      <w:pPr>
        <w:spacing w:after="0" w:line="240" w:lineRule="auto"/>
        <w:ind w:firstLine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699AA94A" w14:textId="77777777" w:rsidR="00DB50DC" w:rsidRPr="00DB50DC" w:rsidRDefault="00DB50DC" w:rsidP="00DB50DC">
      <w:pPr>
        <w:spacing w:after="0" w:line="240" w:lineRule="auto"/>
        <w:ind w:firstLine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6D5D5904" w14:textId="77777777" w:rsidR="00DB50DC" w:rsidRPr="00DB50DC" w:rsidRDefault="00DB50DC" w:rsidP="00DB50DC">
      <w:pPr>
        <w:spacing w:after="0" w:line="240" w:lineRule="auto"/>
        <w:ind w:firstLine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312CE631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2287A378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Міський голова                                                                      Олександр МЕНЗУЛ</w:t>
      </w:r>
    </w:p>
    <w:p w14:paraId="4896F8E0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62D691C0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         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</w:p>
    <w:p w14:paraId="5CA24D90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ab/>
      </w:r>
    </w:p>
    <w:p w14:paraId="59866CD8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sectPr w:rsidR="00DB50DC" w:rsidRPr="00DB50DC" w:rsidSect="00272C2B">
          <w:headerReference w:type="default" r:id="rId8"/>
          <w:footerReference w:type="default" r:id="rId9"/>
          <w:pgSz w:w="11906" w:h="16838"/>
          <w:pgMar w:top="1134" w:right="567" w:bottom="1701" w:left="1701" w:header="709" w:footer="709" w:gutter="0"/>
          <w:pgNumType w:start="2"/>
          <w:cols w:space="708"/>
          <w:titlePg/>
          <w:docGrid w:linePitch="360"/>
        </w:sect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                                                      </w:t>
      </w:r>
    </w:p>
    <w:tbl>
      <w:tblPr>
        <w:tblW w:w="5353" w:type="dxa"/>
        <w:tblInd w:w="4111" w:type="dxa"/>
        <w:tblLook w:val="04A0" w:firstRow="1" w:lastRow="0" w:firstColumn="1" w:lastColumn="0" w:noHBand="0" w:noVBand="1"/>
      </w:tblPr>
      <w:tblGrid>
        <w:gridCol w:w="5353"/>
      </w:tblGrid>
      <w:tr w:rsidR="00DB50DC" w:rsidRPr="00DB50DC" w14:paraId="62AF2694" w14:textId="77777777" w:rsidTr="0075475C">
        <w:trPr>
          <w:trHeight w:val="986"/>
        </w:trPr>
        <w:tc>
          <w:tcPr>
            <w:tcW w:w="5353" w:type="dxa"/>
            <w:shd w:val="clear" w:color="auto" w:fill="auto"/>
          </w:tcPr>
          <w:p w14:paraId="150A8B04" w14:textId="77777777" w:rsidR="00DB50DC" w:rsidRPr="00DB50DC" w:rsidRDefault="00DB50DC" w:rsidP="00DB50DC">
            <w:pPr>
              <w:spacing w:after="0" w:line="240" w:lineRule="auto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ru-RU"/>
              </w:rPr>
            </w:pPr>
            <w:r w:rsidRPr="00DB50DC"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ru-RU"/>
              </w:rPr>
              <w:lastRenderedPageBreak/>
              <w:t>Додаток</w:t>
            </w:r>
          </w:p>
          <w:p w14:paraId="5083C52F" w14:textId="77777777" w:rsidR="00DB50DC" w:rsidRPr="00DB50DC" w:rsidRDefault="00DB50DC" w:rsidP="00DB50DC">
            <w:pPr>
              <w:spacing w:after="0" w:line="240" w:lineRule="auto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ru-RU"/>
              </w:rPr>
            </w:pPr>
            <w:r w:rsidRPr="00DB50DC"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ru-RU"/>
              </w:rPr>
              <w:t>до     рішення      міської      ради</w:t>
            </w:r>
          </w:p>
          <w:p w14:paraId="2C126BF2" w14:textId="0E0636B1" w:rsidR="00AE50E4" w:rsidRDefault="00AE50E4" w:rsidP="00AE50E4">
            <w:pPr>
              <w:spacing w:after="0" w:line="240" w:lineRule="auto"/>
              <w:jc w:val="both"/>
              <w:rPr>
                <w:rFonts w:ascii="Times New Roman CYR" w:eastAsia="Batang" w:hAnsi="Times New Roman CYR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ru-RU"/>
              </w:rPr>
              <w:t>09 лютого 2023 року  №</w:t>
            </w:r>
            <w:r>
              <w:rPr>
                <w:rFonts w:ascii="Times New Roman CYR" w:eastAsia="Batang" w:hAnsi="Times New Roman CYR" w:cs="Times New Roman"/>
                <w:bCs/>
                <w:sz w:val="28"/>
                <w:szCs w:val="28"/>
                <w:lang w:eastAsia="ru-RU"/>
              </w:rPr>
              <w:t>1811</w:t>
            </w:r>
            <w:bookmarkStart w:id="0" w:name="_GoBack"/>
            <w:bookmarkEnd w:id="0"/>
            <w:r w:rsidRPr="00AE50E4">
              <w:rPr>
                <w:rFonts w:ascii="Times New Roman CYR" w:eastAsia="Batang" w:hAnsi="Times New Roman CYR" w:cs="Times New Roman"/>
                <w:bCs/>
                <w:sz w:val="28"/>
                <w:szCs w:val="28"/>
                <w:lang w:eastAsia="ru-RU"/>
              </w:rPr>
              <w:t>-РР-</w:t>
            </w:r>
            <w:r w:rsidRPr="00AE50E4">
              <w:rPr>
                <w:rFonts w:ascii="Times New Roman CYR" w:eastAsia="Batang" w:hAnsi="Times New Roman CYR" w:cs="Times New Roman"/>
                <w:bCs/>
                <w:sz w:val="28"/>
                <w:szCs w:val="28"/>
                <w:lang w:val="en-US" w:eastAsia="ru-RU"/>
              </w:rPr>
              <w:t>VIII</w:t>
            </w:r>
          </w:p>
          <w:p w14:paraId="6A3086C5" w14:textId="4ED06514" w:rsidR="00DB50DC" w:rsidRPr="00DB50DC" w:rsidRDefault="00DB50DC" w:rsidP="00DB50DC">
            <w:pPr>
              <w:spacing w:after="0" w:line="240" w:lineRule="auto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467F4FF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532ED6CB" w14:textId="77777777" w:rsidR="00DB50DC" w:rsidRPr="00DB50DC" w:rsidRDefault="00DB50DC" w:rsidP="00DB50DC">
      <w:pPr>
        <w:numPr>
          <w:ilvl w:val="0"/>
          <w:numId w:val="1"/>
        </w:numPr>
        <w:tabs>
          <w:tab w:val="left" w:pos="-2127"/>
        </w:tabs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</w:pPr>
      <w:r w:rsidRPr="00DB50DC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>Звіт міського голови про здійснення державної регуляторної політики виконавчими органами Вараської міської ради за 2022 рік</w:t>
      </w:r>
    </w:p>
    <w:p w14:paraId="46F302D6" w14:textId="77777777" w:rsidR="00DB50DC" w:rsidRPr="00DB50DC" w:rsidRDefault="00DB50DC" w:rsidP="00DB50DC">
      <w:pPr>
        <w:numPr>
          <w:ilvl w:val="1"/>
          <w:numId w:val="2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основних принципів державної регуляторної політики, визначених Законом України «Про засади державної регуляторної політики у сфері господарської діяльності» (далі - Закон), виконавчі органи Вараської міської ради спрямовували свою роботу на удосконалення умов для здійснення господарської та підприємницької діяльності відповідно до вимог нормативно-правових актів.</w:t>
      </w:r>
    </w:p>
    <w:p w14:paraId="73C0A474" w14:textId="77777777" w:rsidR="00DB50DC" w:rsidRPr="00DB50DC" w:rsidRDefault="00DB50DC" w:rsidP="00DB50DC">
      <w:pPr>
        <w:numPr>
          <w:ilvl w:val="1"/>
          <w:numId w:val="2"/>
        </w:numPr>
        <w:tabs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здійсненні державної регуляторної політики діяльність виконавчих органів Вараської міської ради спрямована на дотримання принципів доцільності, адекватності, ефективності, збалансованості, передбачуваності, прозорості та врахування громадської думки.</w:t>
      </w:r>
    </w:p>
    <w:p w14:paraId="4071F8BE" w14:textId="77777777" w:rsidR="00DB50DC" w:rsidRPr="00DB50DC" w:rsidRDefault="00DB50DC" w:rsidP="00DB50DC">
      <w:pPr>
        <w:numPr>
          <w:ilvl w:val="1"/>
          <w:numId w:val="2"/>
        </w:numPr>
        <w:tabs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положень Закону реалізація державної регуляторної політики у виконавчих органах Вараської міської ради проводилась у таких напрямках:</w:t>
      </w:r>
    </w:p>
    <w:p w14:paraId="6F605B93" w14:textId="77777777" w:rsidR="00DB50DC" w:rsidRPr="00DB50DC" w:rsidRDefault="00DB50DC" w:rsidP="00DB50DC">
      <w:pPr>
        <w:numPr>
          <w:ilvl w:val="2"/>
          <w:numId w:val="2"/>
        </w:numPr>
        <w:tabs>
          <w:tab w:val="left" w:pos="851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діяльності з підготовка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актів;</w:t>
      </w:r>
    </w:p>
    <w:p w14:paraId="5EA60C57" w14:textId="77777777" w:rsidR="00DB50DC" w:rsidRPr="00DB50DC" w:rsidRDefault="00DB50DC" w:rsidP="00DB50DC">
      <w:pPr>
        <w:numPr>
          <w:ilvl w:val="2"/>
          <w:numId w:val="2"/>
        </w:numPr>
        <w:tabs>
          <w:tab w:val="left" w:pos="851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підготовка аналізу регуляторного впливу, застосування єдиного підходу до підготовки аналізу регуляторного впливу та до здійснення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відстежень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результативності регуляторних актів;</w:t>
      </w:r>
    </w:p>
    <w:p w14:paraId="23343BDA" w14:textId="77777777" w:rsidR="00DB50DC" w:rsidRPr="00DB50DC" w:rsidRDefault="00DB50DC" w:rsidP="00DB50DC">
      <w:pPr>
        <w:numPr>
          <w:ilvl w:val="2"/>
          <w:numId w:val="2"/>
        </w:numPr>
        <w:tabs>
          <w:tab w:val="left" w:pos="851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оприлюднення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 з метою одержання зауважень і пропозицій від фізичних та юридичних осіб, їх об’єднань;</w:t>
      </w:r>
    </w:p>
    <w:p w14:paraId="25E8D04C" w14:textId="77777777" w:rsidR="00DB50DC" w:rsidRPr="00DB50DC" w:rsidRDefault="00DB50DC" w:rsidP="00DB50DC">
      <w:pPr>
        <w:numPr>
          <w:ilvl w:val="2"/>
          <w:numId w:val="2"/>
        </w:numPr>
        <w:tabs>
          <w:tab w:val="left" w:pos="851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 результативності регуляторних актів;</w:t>
      </w:r>
    </w:p>
    <w:p w14:paraId="6F8BACA1" w14:textId="77777777" w:rsidR="00DB50DC" w:rsidRPr="00DB50DC" w:rsidRDefault="00DB50DC" w:rsidP="00DB50DC">
      <w:pPr>
        <w:numPr>
          <w:ilvl w:val="2"/>
          <w:numId w:val="2"/>
        </w:numPr>
        <w:tabs>
          <w:tab w:val="left" w:pos="851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перегляд та систематизація регуляторних актів;</w:t>
      </w:r>
    </w:p>
    <w:p w14:paraId="5C6A7F18" w14:textId="77777777" w:rsidR="00DB50DC" w:rsidRPr="00DB50DC" w:rsidRDefault="00DB50DC" w:rsidP="00DB50DC">
      <w:pPr>
        <w:numPr>
          <w:ilvl w:val="2"/>
          <w:numId w:val="2"/>
        </w:numPr>
        <w:tabs>
          <w:tab w:val="left" w:pos="851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недопущення прийняття регуляторних актів, які є непослідовними або не узгоджуються чи дублюють діючі регуляторні акти;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9A970E" w14:textId="77777777" w:rsidR="00DB50DC" w:rsidRPr="00DB50DC" w:rsidRDefault="00DB50DC" w:rsidP="00DB50DC">
      <w:pPr>
        <w:numPr>
          <w:ilvl w:val="2"/>
          <w:numId w:val="2"/>
        </w:numPr>
        <w:tabs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 інформації про здійснення регуляторної діяльності.</w:t>
      </w:r>
    </w:p>
    <w:p w14:paraId="51A1DE09" w14:textId="77777777" w:rsidR="00DB50DC" w:rsidRPr="00DB50DC" w:rsidRDefault="00DB50DC" w:rsidP="00DB50DC">
      <w:pPr>
        <w:spacing w:after="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49CFD31D" w14:textId="77777777" w:rsidR="00DB50DC" w:rsidRPr="00DB50DC" w:rsidRDefault="00DB50DC" w:rsidP="00DB50DC">
      <w:pPr>
        <w:numPr>
          <w:ilvl w:val="0"/>
          <w:numId w:val="2"/>
        </w:numPr>
        <w:tabs>
          <w:tab w:val="left" w:pos="-2127"/>
        </w:tabs>
        <w:spacing w:after="12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</w:pPr>
      <w:r w:rsidRPr="00DB50DC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 xml:space="preserve">Планування діяльності з підготовки </w:t>
      </w:r>
      <w:proofErr w:type="spellStart"/>
      <w:r w:rsidRPr="00DB50DC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 xml:space="preserve"> регуляторних актів</w:t>
      </w:r>
    </w:p>
    <w:p w14:paraId="44E2E331" w14:textId="77777777" w:rsidR="00DB50DC" w:rsidRPr="00DB50DC" w:rsidRDefault="00DB50DC" w:rsidP="00DB50DC">
      <w:pPr>
        <w:numPr>
          <w:ilvl w:val="1"/>
          <w:numId w:val="2"/>
        </w:numPr>
        <w:tabs>
          <w:tab w:val="left" w:pos="-2127"/>
        </w:tabs>
        <w:spacing w:before="100" w:beforeAutospacing="1" w:after="12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Відповідно до вимог статті 7 Закону, підготовка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регуляторних актів здійснюється згідно із Планом діяльності з підготовки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</w:t>
      </w: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lastRenderedPageBreak/>
        <w:t xml:space="preserve">регуляторних актів. Плани діяльності з підготовки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регуляторних актів міської ради та виконавчого комітету на 2022 рік затверджені 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</w:rPr>
        <w:t>рішенням Вараської міської ради</w:t>
      </w:r>
      <w:r w:rsidRPr="00DB50DC">
        <w:rPr>
          <w:rFonts w:ascii="Times New Roman CYR" w:eastAsia="Batang" w:hAnsi="Times New Roman CYR" w:cs="Times New Roman"/>
          <w:bCs/>
          <w:color w:val="FF0000"/>
          <w:sz w:val="28"/>
          <w:szCs w:val="28"/>
        </w:rPr>
        <w:t xml:space="preserve"> 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від 17 листопада 2021 року №1022 «Про затвердження плану діяльності Вараської міської ради з підготовки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регуляторних актів на 2022 рік» (зі змінами, внесеними рішенням від 23 лютого 2022 року №1298-РР-VIII) та рішенням виконавчого комітету Вараської міської ради від 26 жовтня 2021 року №348 «Про затвердження плану діяльності виконавчого комітету Вараської міської ради з підготовки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регуляторних актів на 2022 рік»</w:t>
      </w:r>
    </w:p>
    <w:p w14:paraId="4F32989B" w14:textId="77777777" w:rsidR="00DB50DC" w:rsidRPr="00DB50DC" w:rsidRDefault="00DB50DC" w:rsidP="00DB50DC">
      <w:pPr>
        <w:numPr>
          <w:ilvl w:val="1"/>
          <w:numId w:val="2"/>
        </w:numPr>
        <w:tabs>
          <w:tab w:val="left" w:pos="-2127"/>
        </w:tabs>
        <w:spacing w:before="100" w:beforeAutospacing="1" w:after="12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Зазначені плани сформовані на підставі пропозицій структурних підрозділів виконавчого комітету міської ради та оприлюднені на офіційному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вебсайті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Вараської міської ради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varash-rada.gov.u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0"/>
          <w:lang w:val="en-US" w:eastAsia="ru-RU"/>
        </w:rPr>
        <w:t>a</w:t>
      </w: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у розділі «Регуляторна політика».</w:t>
      </w:r>
    </w:p>
    <w:p w14:paraId="631548ED" w14:textId="77777777" w:rsidR="00DB50DC" w:rsidRPr="00DB50DC" w:rsidRDefault="00DB50DC" w:rsidP="00DB50DC">
      <w:pPr>
        <w:numPr>
          <w:ilvl w:val="1"/>
          <w:numId w:val="2"/>
        </w:numPr>
        <w:tabs>
          <w:tab w:val="left" w:pos="-2127"/>
        </w:tabs>
        <w:spacing w:before="100" w:beforeAutospacing="1" w:after="12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План містить інформацію щодо найменування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регуляторних актів, цілей прийняття, строків підготовки, найменування структурного підрозділу, відповідального за його розробку. Інформація, зазначена у плані надає  можливість суб’єктам господарювання та фізичним особам планувати свою подальшу діяльність, приймати участь в обговоренні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проєкту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регуляторного акту, сприяє захисту їх прав.</w:t>
      </w:r>
    </w:p>
    <w:p w14:paraId="429B850A" w14:textId="77777777" w:rsidR="00DB50DC" w:rsidRPr="00DB50DC" w:rsidRDefault="00DB50DC" w:rsidP="00DB50DC">
      <w:pPr>
        <w:numPr>
          <w:ilvl w:val="1"/>
          <w:numId w:val="2"/>
        </w:numPr>
        <w:spacing w:before="100" w:beforeAutospacing="1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Разом з тим, План діяльності виконавчого комітету Вараської міської ради з підготовки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 на 2023 рік затверджено рішенням виконавчого комітету Вараської міської ради від 30 вересня 2022 року №326-РВ-22 «Про затвердження плану діяльності виконавчого комітету Вараської міської ради з підготовки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 на 2023 рік №7200-ПЛ-12-22».</w:t>
      </w:r>
    </w:p>
    <w:p w14:paraId="634B9B69" w14:textId="77777777" w:rsidR="00DB50DC" w:rsidRPr="00DB50DC" w:rsidRDefault="00DB50DC" w:rsidP="00DB50DC">
      <w:pPr>
        <w:numPr>
          <w:ilvl w:val="1"/>
          <w:numId w:val="2"/>
        </w:numPr>
        <w:spacing w:before="100" w:beforeAutospacing="1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діяльності Вараської міської ради з підготовки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 на 2023 рік затверджено рішенням Вараської міської ради від 02 грудня 2022 року №1711-РР-VIII «Про затвердження плану діяльності Вараської міської ради з підготовки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 на 2023 рік», №7200-ПЛ-11-22».</w:t>
      </w:r>
    </w:p>
    <w:p w14:paraId="6695EF9F" w14:textId="77777777" w:rsidR="00DB50DC" w:rsidRPr="00DB50DC" w:rsidRDefault="00DB50DC" w:rsidP="00DB50DC">
      <w:pPr>
        <w:numPr>
          <w:ilvl w:val="0"/>
          <w:numId w:val="3"/>
        </w:numPr>
        <w:tabs>
          <w:tab w:val="left" w:pos="-2127"/>
        </w:tabs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 xml:space="preserve">Підготовка аналізу регуляторного впливу та </w:t>
      </w:r>
      <w:r w:rsidRPr="00DB50D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застосування єдиного підходу до підготовки аналізу регуляторного впливу та до здійснення </w:t>
      </w:r>
      <w:proofErr w:type="spellStart"/>
      <w:r w:rsidRPr="00DB50D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відстежень</w:t>
      </w:r>
      <w:proofErr w:type="spellEnd"/>
      <w:r w:rsidRPr="00DB50D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результативності регуляторних актів</w:t>
      </w:r>
    </w:p>
    <w:p w14:paraId="211696DB" w14:textId="77777777" w:rsidR="00DB50DC" w:rsidRPr="00DB50DC" w:rsidRDefault="00DB50DC" w:rsidP="00DB50DC">
      <w:pPr>
        <w:numPr>
          <w:ilvl w:val="1"/>
          <w:numId w:val="7"/>
        </w:numPr>
        <w:tabs>
          <w:tab w:val="left" w:pos="-2127"/>
        </w:tabs>
        <w:spacing w:before="120" w:after="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При підготовці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регуляторних актів виконавчих органів Вараської міської ради дотримується єдиний підхід 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до підготовки аналізу регуляторного впливу та до здійснення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відстежень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результативності регуляторних актів.</w:t>
      </w:r>
    </w:p>
    <w:p w14:paraId="7AA61F34" w14:textId="77777777" w:rsidR="00DB50DC" w:rsidRPr="00DB50DC" w:rsidRDefault="00DB50DC" w:rsidP="00DB50DC">
      <w:pPr>
        <w:numPr>
          <w:ilvl w:val="1"/>
          <w:numId w:val="7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регуляторного впливу готується відповідно до статті 8 Закону та Методики проведення аналізу впливу регуляторного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затверджена постановою Кабінету Міністрів України від 11 березня 2004 року №308 «Про </w:t>
      </w: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затвердження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аналізу впливу та відстеження результативності регуляторного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2081150" w14:textId="77777777" w:rsidR="00DB50DC" w:rsidRPr="00DB50DC" w:rsidRDefault="00DB50DC" w:rsidP="00DB50DC">
      <w:pPr>
        <w:numPr>
          <w:ilvl w:val="1"/>
          <w:numId w:val="7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регуляторного впливу оприлюднюється одночасно з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проєктом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8D1AFB" w14:textId="77777777" w:rsidR="00DB50DC" w:rsidRPr="00DB50DC" w:rsidRDefault="00DB50DC" w:rsidP="00DB50DC">
      <w:pPr>
        <w:numPr>
          <w:ilvl w:val="1"/>
          <w:numId w:val="7"/>
        </w:numPr>
        <w:tabs>
          <w:tab w:val="left" w:pos="-2127"/>
        </w:tabs>
        <w:spacing w:before="120" w:after="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Проєкти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регуляторних актів, що були представленні для затвердження Вараської міської ради та виконавчого комітету Вараської міської ради розглядалися лише у випадку, якщо вони внесені разом із аналізом регуляторного впливу, згідно  статті 33 Закону. </w:t>
      </w:r>
    </w:p>
    <w:p w14:paraId="3250DEC2" w14:textId="77777777" w:rsidR="00DB50DC" w:rsidRPr="00DB50DC" w:rsidRDefault="00DB50DC" w:rsidP="00DB50DC">
      <w:pPr>
        <w:numPr>
          <w:ilvl w:val="0"/>
          <w:numId w:val="4"/>
        </w:numPr>
        <w:tabs>
          <w:tab w:val="left" w:pos="-2127"/>
        </w:tabs>
        <w:spacing w:before="120" w:after="0" w:line="240" w:lineRule="auto"/>
        <w:jc w:val="center"/>
        <w:rPr>
          <w:rFonts w:ascii="Times New Roman CYR" w:eastAsia="Batang" w:hAnsi="Times New Roman CYR" w:cs="TimesNewRomanPSMT"/>
          <w:b/>
          <w:bCs/>
          <w:sz w:val="28"/>
          <w:szCs w:val="20"/>
          <w:lang w:eastAsia="ru-RU"/>
        </w:rPr>
      </w:pPr>
      <w:r w:rsidRPr="00DB50DC">
        <w:rPr>
          <w:rFonts w:ascii="Times New Roman CYR" w:eastAsia="Batang" w:hAnsi="Times New Roman CYR" w:cs="TimesNewRomanPSMT"/>
          <w:b/>
          <w:bCs/>
          <w:sz w:val="28"/>
          <w:szCs w:val="20"/>
          <w:lang w:eastAsia="ru-RU"/>
        </w:rPr>
        <w:t xml:space="preserve">Оприлюднення </w:t>
      </w:r>
      <w:proofErr w:type="spellStart"/>
      <w:r w:rsidRPr="00DB50DC">
        <w:rPr>
          <w:rFonts w:ascii="Times New Roman CYR" w:eastAsia="Batang" w:hAnsi="Times New Roman CYR" w:cs="TimesNewRomanPSMT"/>
          <w:b/>
          <w:bCs/>
          <w:sz w:val="28"/>
          <w:szCs w:val="20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NewRomanPSMT"/>
          <w:b/>
          <w:bCs/>
          <w:sz w:val="28"/>
          <w:szCs w:val="20"/>
          <w:lang w:eastAsia="ru-RU"/>
        </w:rPr>
        <w:t xml:space="preserve"> регуляторних актів</w:t>
      </w:r>
    </w:p>
    <w:p w14:paraId="637E8E91" w14:textId="77777777" w:rsidR="00DB50DC" w:rsidRPr="00DB50DC" w:rsidRDefault="00DB50DC" w:rsidP="00DB50DC">
      <w:pPr>
        <w:numPr>
          <w:ilvl w:val="1"/>
          <w:numId w:val="8"/>
        </w:numPr>
        <w:tabs>
          <w:tab w:val="left" w:pos="-2127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NewRomanPSMT"/>
          <w:bCs/>
          <w:sz w:val="28"/>
          <w:szCs w:val="20"/>
          <w:lang w:eastAsia="ru-RU"/>
        </w:rPr>
        <w:t xml:space="preserve">З метою недопущення прийняття економічно недоцільних, неефективних регуляторних актів та для залучення суб’єктів підприємництва, повідомлення про оприлюднення </w:t>
      </w:r>
      <w:proofErr w:type="spellStart"/>
      <w:r w:rsidRPr="00DB50DC">
        <w:rPr>
          <w:rFonts w:ascii="Times New Roman CYR" w:eastAsia="Batang" w:hAnsi="Times New Roman CYR" w:cs="TimesNewRomanPSMT"/>
          <w:bCs/>
          <w:sz w:val="28"/>
          <w:szCs w:val="20"/>
          <w:lang w:eastAsia="ru-RU"/>
        </w:rPr>
        <w:t>проєкту</w:t>
      </w:r>
      <w:proofErr w:type="spellEnd"/>
      <w:r w:rsidRPr="00DB50DC">
        <w:rPr>
          <w:rFonts w:ascii="Times New Roman CYR" w:eastAsia="Batang" w:hAnsi="Times New Roman CYR" w:cs="TimesNewRomanPSMT"/>
          <w:bCs/>
          <w:sz w:val="28"/>
          <w:szCs w:val="20"/>
          <w:lang w:eastAsia="ru-RU"/>
        </w:rPr>
        <w:t xml:space="preserve"> регуляторного </w:t>
      </w:r>
      <w:proofErr w:type="spellStart"/>
      <w:r w:rsidRPr="00DB50DC">
        <w:rPr>
          <w:rFonts w:ascii="Times New Roman CYR" w:eastAsia="Batang" w:hAnsi="Times New Roman CYR" w:cs="TimesNewRomanPSMT"/>
          <w:bCs/>
          <w:sz w:val="28"/>
          <w:szCs w:val="20"/>
          <w:lang w:eastAsia="ru-RU"/>
        </w:rPr>
        <w:t>акта</w:t>
      </w:r>
      <w:proofErr w:type="spellEnd"/>
      <w:r w:rsidRPr="00DB50DC">
        <w:rPr>
          <w:rFonts w:ascii="Times New Roman CYR" w:eastAsia="Batang" w:hAnsi="Times New Roman CYR" w:cs="TimesNewRomanPSMT"/>
          <w:bCs/>
          <w:sz w:val="28"/>
          <w:szCs w:val="20"/>
          <w:lang w:eastAsia="ru-RU"/>
        </w:rPr>
        <w:t xml:space="preserve">, </w:t>
      </w:r>
      <w:proofErr w:type="spellStart"/>
      <w:r w:rsidRPr="00DB50DC">
        <w:rPr>
          <w:rFonts w:ascii="Times New Roman CYR" w:eastAsia="Batang" w:hAnsi="Times New Roman CYR" w:cs="TimesNewRomanPSMT"/>
          <w:bCs/>
          <w:sz w:val="28"/>
          <w:szCs w:val="20"/>
          <w:lang w:eastAsia="ru-RU"/>
        </w:rPr>
        <w:t>п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роєкти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регуляторних актів та відповідні аналізи регуляторного впливу оприлюднювалися для отримання зауважень і пропозицій на офіційному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вебсайті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Вараської міської ради відповідно до вимог статей 9 та 35 Закону.</w:t>
      </w:r>
    </w:p>
    <w:p w14:paraId="09304591" w14:textId="77777777" w:rsidR="00DB50DC" w:rsidRPr="00DB50DC" w:rsidRDefault="00DB50DC" w:rsidP="00DB50DC">
      <w:pPr>
        <w:numPr>
          <w:ilvl w:val="1"/>
          <w:numId w:val="8"/>
        </w:numPr>
        <w:tabs>
          <w:tab w:val="left" w:pos="-2127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Одержані зауваження і пропозиції опрацьовувалися та враховувалися при прийнятті регуляторних актів або аргументовано відхилялися, що дозволило визначити оцінку впливу регуляторного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акта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та відкоригувати недоліки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проєкту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регуляторного акту до набрання ним чинності.</w:t>
      </w:r>
    </w:p>
    <w:p w14:paraId="1BE98CF1" w14:textId="77777777" w:rsidR="00DB50DC" w:rsidRPr="00DB50DC" w:rsidRDefault="00DB50DC" w:rsidP="00DB50DC">
      <w:pPr>
        <w:numPr>
          <w:ilvl w:val="1"/>
          <w:numId w:val="8"/>
        </w:numPr>
        <w:tabs>
          <w:tab w:val="left" w:pos="-2127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Оприлюднення документів, підготовлених у процесі виконання  регуляторної діяльності здійснювалося відповідно до статті 13 Закону.</w:t>
      </w:r>
    </w:p>
    <w:p w14:paraId="69D0B50B" w14:textId="77777777" w:rsidR="00DB50DC" w:rsidRPr="00DB50DC" w:rsidRDefault="00DB50DC" w:rsidP="00DB50DC">
      <w:pPr>
        <w:numPr>
          <w:ilvl w:val="0"/>
          <w:numId w:val="8"/>
        </w:numPr>
        <w:tabs>
          <w:tab w:val="left" w:pos="-2127"/>
        </w:tabs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</w:pPr>
      <w:r w:rsidRPr="00DB50DC">
        <w:rPr>
          <w:rFonts w:ascii="Times New Roman CYR" w:eastAsia="Batang" w:hAnsi="Times New Roman CYR" w:cs="Times New Roman"/>
          <w:b/>
          <w:bCs/>
          <w:sz w:val="28"/>
          <w:szCs w:val="20"/>
          <w:lang w:eastAsia="ru-RU"/>
        </w:rPr>
        <w:t>Розробка та затвердження регуляторних актів</w:t>
      </w:r>
    </w:p>
    <w:p w14:paraId="06BE4961" w14:textId="77777777" w:rsidR="00DB50DC" w:rsidRPr="00DB50DC" w:rsidRDefault="00DB50DC" w:rsidP="00DB50DC">
      <w:pPr>
        <w:numPr>
          <w:ilvl w:val="1"/>
          <w:numId w:val="8"/>
        </w:numPr>
        <w:tabs>
          <w:tab w:val="left" w:pos="-2127"/>
        </w:tabs>
        <w:spacing w:before="120" w:after="0" w:line="240" w:lineRule="auto"/>
        <w:ind w:left="357" w:hanging="35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Протягом звітного періоду розробка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регуляторних актів здійснювалась відповідно до затверджених планів діяльності з підготовки </w:t>
      </w:r>
      <w:proofErr w:type="spellStart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проєктів</w:t>
      </w:r>
      <w:proofErr w:type="spellEnd"/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регуляторних актів.</w:t>
      </w:r>
    </w:p>
    <w:p w14:paraId="4D11D4AC" w14:textId="77777777" w:rsidR="00DB50DC" w:rsidRPr="00DB50DC" w:rsidRDefault="00DB50DC" w:rsidP="00DB50DC">
      <w:pPr>
        <w:numPr>
          <w:ilvl w:val="1"/>
          <w:numId w:val="8"/>
        </w:numPr>
        <w:tabs>
          <w:tab w:val="left" w:pos="-2127"/>
          <w:tab w:val="left" w:pos="993"/>
        </w:tabs>
        <w:spacing w:before="120" w:after="0" w:line="240" w:lineRule="auto"/>
        <w:ind w:left="357" w:hanging="35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Упродовж 2022 року прийнято та оприлюднено 1 регуляторний акт, а саме: рішення Вараської міської ради від 19 жовтня 2022 року №</w:t>
      </w:r>
      <w:r w:rsidRPr="00DB50DC">
        <w:rPr>
          <w:rFonts w:ascii="PT Sans" w:eastAsia="Batang" w:hAnsi="PT Sans" w:cs="Times New Roman"/>
          <w:bCs/>
          <w:color w:val="000000"/>
          <w:sz w:val="24"/>
          <w:szCs w:val="24"/>
          <w:lang w:eastAsia="uk-UA"/>
        </w:rPr>
        <w:t xml:space="preserve">№1644-РР-VIII </w:t>
      </w:r>
      <w:r w:rsidRPr="00DB50DC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uk-UA"/>
        </w:rPr>
        <w:t>«Про затвердження Методики розрахунку орендної плати за комунальне майно Вараської міської територіальної громади»</w:t>
      </w:r>
      <w:r w:rsidRPr="00DB50DC">
        <w:rPr>
          <w:rFonts w:ascii="Times New Roman CYR" w:eastAsia="Batang" w:hAnsi="Times New Roman CYR" w:cs="Times New Roman"/>
          <w:bCs/>
          <w:color w:val="000000"/>
          <w:sz w:val="28"/>
          <w:szCs w:val="28"/>
          <w:lang w:eastAsia="uk-UA"/>
        </w:rPr>
        <w:t>.</w:t>
      </w:r>
    </w:p>
    <w:p w14:paraId="40189A6F" w14:textId="77777777" w:rsidR="00DB50DC" w:rsidRPr="00DB50DC" w:rsidRDefault="00DB50DC" w:rsidP="00DB50DC">
      <w:pPr>
        <w:numPr>
          <w:ilvl w:val="1"/>
          <w:numId w:val="8"/>
        </w:numPr>
        <w:tabs>
          <w:tab w:val="left" w:pos="993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Окрім того, підготовлено </w:t>
      </w:r>
      <w:proofErr w:type="spellStart"/>
      <w:r w:rsidRPr="00DB50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проєкт</w:t>
      </w:r>
      <w:proofErr w:type="spellEnd"/>
      <w:r w:rsidRPr="00DB50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рішення Вараської міської ради від 21 липня 2022 №2095-ПРР-VIII-4310 «Про затвердження Правил благоустрою території Вараської міської територіальної громади», який проходить процедуру обговорення. </w:t>
      </w:r>
    </w:p>
    <w:p w14:paraId="0AE966E6" w14:textId="77777777" w:rsidR="00DB50DC" w:rsidRPr="00DB50DC" w:rsidRDefault="00DB50DC" w:rsidP="00DB50DC">
      <w:pPr>
        <w:numPr>
          <w:ilvl w:val="1"/>
          <w:numId w:val="8"/>
        </w:numPr>
        <w:tabs>
          <w:tab w:val="left" w:pos="993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Разом з тим, на підставі прийняття нових рішень та</w:t>
      </w:r>
      <w:r w:rsidRPr="00DB50D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звіти про відстеження результативності регуляторних актів, за результатами яких виявлено суперечності діючому законодавству, </w:t>
      </w: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наступні рішення міської ради та виконавчого комітету визнано такими, що втратили чинність, а саме:</w:t>
      </w:r>
    </w:p>
    <w:p w14:paraId="371D3F7A" w14:textId="77777777" w:rsidR="00DB50DC" w:rsidRPr="00DB50DC" w:rsidRDefault="00DB50DC" w:rsidP="00DB50DC">
      <w:pPr>
        <w:numPr>
          <w:ilvl w:val="2"/>
          <w:numId w:val="9"/>
        </w:numPr>
        <w:tabs>
          <w:tab w:val="left" w:pos="709"/>
          <w:tab w:val="left" w:pos="1418"/>
          <w:tab w:val="left" w:pos="1701"/>
          <w:tab w:val="left" w:pos="1985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рішення виконавчого комітету </w:t>
      </w:r>
      <w:proofErr w:type="spellStart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Кузнецовської</w:t>
      </w:r>
      <w:proofErr w:type="spellEnd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</w:t>
      </w:r>
      <w:r w:rsidRPr="00DB50D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08 липня 2013 року №96 «Про затвердження положення про Порядок проведення на території міста Кузнецовськ виставково-ярмаркової та презентаційної діяльності»;</w:t>
      </w:r>
    </w:p>
    <w:p w14:paraId="7818EE74" w14:textId="77777777" w:rsidR="00DB50DC" w:rsidRPr="00DB50DC" w:rsidRDefault="00DB50DC" w:rsidP="00DB50DC">
      <w:pPr>
        <w:numPr>
          <w:ilvl w:val="2"/>
          <w:numId w:val="9"/>
        </w:numPr>
        <w:tabs>
          <w:tab w:val="left" w:pos="709"/>
          <w:tab w:val="left" w:pos="1418"/>
          <w:tab w:val="left" w:pos="1701"/>
          <w:tab w:val="left" w:pos="1985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виконавчого комітету </w:t>
      </w:r>
      <w:proofErr w:type="spellStart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Кузнецовської</w:t>
      </w:r>
      <w:proofErr w:type="spellEnd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17 липня 2014 року №134 «Про затвердження Тимчасового положення про порядок обліку об’єктів нерухомого майна на території м. Кузнецовськ»;</w:t>
      </w:r>
    </w:p>
    <w:p w14:paraId="6F80CEC0" w14:textId="77777777" w:rsidR="00DB50DC" w:rsidRPr="00DB50DC" w:rsidRDefault="00DB50DC" w:rsidP="00DB50DC">
      <w:pPr>
        <w:numPr>
          <w:ilvl w:val="2"/>
          <w:numId w:val="9"/>
        </w:numPr>
        <w:shd w:val="clear" w:color="auto" w:fill="FFFFFF"/>
        <w:tabs>
          <w:tab w:val="left" w:pos="709"/>
          <w:tab w:val="left" w:pos="1418"/>
          <w:tab w:val="left" w:pos="1701"/>
          <w:tab w:val="left" w:pos="1985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виконавчого комітету </w:t>
      </w:r>
      <w:proofErr w:type="spellStart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Кузнецовської</w:t>
      </w:r>
      <w:proofErr w:type="spellEnd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28 липня 2011 року №157 «Про затвердження Порядку встановлення тарифів на перевезення пасажирів на міських автобусних маршрутах загального користування»;</w:t>
      </w:r>
    </w:p>
    <w:p w14:paraId="3B888A45" w14:textId="77777777" w:rsidR="00DB50DC" w:rsidRPr="00DB50DC" w:rsidRDefault="00DB50DC" w:rsidP="00DB50DC">
      <w:pPr>
        <w:numPr>
          <w:ilvl w:val="2"/>
          <w:numId w:val="9"/>
        </w:numPr>
        <w:shd w:val="clear" w:color="auto" w:fill="FFFFFF"/>
        <w:tabs>
          <w:tab w:val="left" w:pos="709"/>
          <w:tab w:val="left" w:pos="1418"/>
          <w:tab w:val="left" w:pos="1701"/>
          <w:tab w:val="left" w:pos="1985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proofErr w:type="spellStart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Кузнецовської</w:t>
      </w:r>
      <w:proofErr w:type="spellEnd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28 жовтня 2011 року № 229 «Про затвердження Методики розрахунку і порядку використання плати за оренду комунального майна».</w:t>
      </w:r>
    </w:p>
    <w:p w14:paraId="002D4FEA" w14:textId="77777777" w:rsidR="00DB50DC" w:rsidRPr="00DB50DC" w:rsidRDefault="00DB50DC" w:rsidP="00DB50DC">
      <w:pPr>
        <w:numPr>
          <w:ilvl w:val="1"/>
          <w:numId w:val="9"/>
        </w:numPr>
        <w:tabs>
          <w:tab w:val="left" w:pos="-2127"/>
        </w:tabs>
        <w:spacing w:before="120" w:after="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Станом на 01.01.2023 року до Реєстру</w:t>
      </w: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діючих регуляторних актів</w:t>
      </w:r>
      <w:r w:rsidRPr="00DB50DC">
        <w:rPr>
          <w:rFonts w:ascii="Times New Roman CYR" w:eastAsia="Batang" w:hAnsi="Times New Roman CYR" w:cs="Times New Roman"/>
          <w:bCs/>
          <w:color w:val="FF0000"/>
          <w:sz w:val="28"/>
          <w:szCs w:val="20"/>
          <w:lang w:eastAsia="ru-RU"/>
        </w:rPr>
        <w:t xml:space="preserve"> </w:t>
      </w: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включено 13 регуляторних актів, з них:</w:t>
      </w:r>
    </w:p>
    <w:p w14:paraId="655F6520" w14:textId="77777777" w:rsidR="00DB50DC" w:rsidRPr="00DB50DC" w:rsidRDefault="00DB50DC" w:rsidP="00DB50DC">
      <w:pPr>
        <w:numPr>
          <w:ilvl w:val="2"/>
          <w:numId w:val="9"/>
        </w:numPr>
        <w:tabs>
          <w:tab w:val="left" w:pos="-2127"/>
          <w:tab w:val="left" w:pos="851"/>
          <w:tab w:val="left" w:pos="1701"/>
        </w:tabs>
        <w:spacing w:before="120" w:after="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11 рішень міської ради</w:t>
      </w:r>
      <w:r w:rsidRPr="00DB50DC"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  <w:t>;</w:t>
      </w:r>
    </w:p>
    <w:p w14:paraId="17B76168" w14:textId="77777777" w:rsidR="00DB50DC" w:rsidRPr="00DB50DC" w:rsidRDefault="00DB50DC" w:rsidP="00DB50DC">
      <w:pPr>
        <w:numPr>
          <w:ilvl w:val="2"/>
          <w:numId w:val="9"/>
        </w:numPr>
        <w:tabs>
          <w:tab w:val="left" w:pos="-2127"/>
          <w:tab w:val="left" w:pos="851"/>
          <w:tab w:val="left" w:pos="1701"/>
        </w:tabs>
        <w:spacing w:before="120" w:after="0" w:line="240" w:lineRule="auto"/>
        <w:ind w:left="360" w:hanging="360"/>
        <w:jc w:val="both"/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2 рішення виконавчого комітету.</w:t>
      </w:r>
    </w:p>
    <w:p w14:paraId="7120A067" w14:textId="77777777" w:rsidR="00DB50DC" w:rsidRPr="00DB50DC" w:rsidRDefault="00DB50DC" w:rsidP="00DB50DC">
      <w:pPr>
        <w:numPr>
          <w:ilvl w:val="0"/>
          <w:numId w:val="5"/>
        </w:numPr>
        <w:tabs>
          <w:tab w:val="left" w:pos="-2127"/>
        </w:tabs>
        <w:spacing w:before="120"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Відстеження результативності регуляторних актів</w:t>
      </w:r>
    </w:p>
    <w:p w14:paraId="0BB69684" w14:textId="77777777" w:rsidR="00DB50DC" w:rsidRPr="00DB50DC" w:rsidRDefault="00DB50DC" w:rsidP="00DB50DC">
      <w:pPr>
        <w:numPr>
          <w:ilvl w:val="1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вимог статті 10 Закону України «</w:t>
      </w: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засади державної регуляторної політики у сфері господарської діяльності», стосовно кожного регуляторного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послідовно здійснюється базове, повторне та періодичне відстеження згідно з затвердженим планом-графіком проведення заходів з відстеження. Відстеження результативності регуляторних актів готуються відповідно до статей 10, 37 Закону та постанови Кабінету Міністрів України від 11 березня 2004 року №308 «Про затвердження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аналізу впливу та відстеження результативності регуляторного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6B90C9C" w14:textId="77777777" w:rsidR="00DB50DC" w:rsidRPr="00DB50DC" w:rsidRDefault="00DB50DC" w:rsidP="00DB50DC">
      <w:pPr>
        <w:numPr>
          <w:ilvl w:val="1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Звіти про відстеження результативності регуляторних актів оприлюднювалися на офіційному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varash-rada.gov.ua</w:t>
      </w:r>
      <w:r w:rsidRPr="00DB50D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розділі «Регуляторна політика».</w:t>
      </w:r>
    </w:p>
    <w:p w14:paraId="3425A187" w14:textId="77777777" w:rsidR="00DB50DC" w:rsidRPr="00DB50DC" w:rsidRDefault="00DB50DC" w:rsidP="00DB50DC">
      <w:pPr>
        <w:numPr>
          <w:ilvl w:val="1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2022 року проведено 7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відстежень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результативності регуляторних актів, з них: 2 базових та 5 періодичних.</w:t>
      </w:r>
    </w:p>
    <w:p w14:paraId="22B27E67" w14:textId="77777777" w:rsidR="00DB50DC" w:rsidRPr="00DB50DC" w:rsidRDefault="00DB50DC" w:rsidP="00DB50DC">
      <w:pPr>
        <w:numPr>
          <w:ilvl w:val="1"/>
          <w:numId w:val="6"/>
        </w:numPr>
        <w:tabs>
          <w:tab w:val="left" w:pos="-2127"/>
          <w:tab w:val="left" w:pos="284"/>
          <w:tab w:val="left" w:pos="709"/>
        </w:tabs>
        <w:spacing w:before="120" w:after="0" w:line="240" w:lineRule="auto"/>
        <w:ind w:left="360" w:hanging="360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Batang" w:hAnsi="Times New Roman" w:cs="Times New Roman"/>
          <w:sz w:val="28"/>
          <w:szCs w:val="28"/>
          <w:lang w:eastAsia="ru-RU"/>
        </w:rPr>
        <w:t>Базове відстеження:</w:t>
      </w:r>
    </w:p>
    <w:p w14:paraId="34A7FE66" w14:textId="77777777" w:rsidR="00DB50DC" w:rsidRPr="00DB50DC" w:rsidRDefault="00DB50DC" w:rsidP="00DB50DC">
      <w:pPr>
        <w:numPr>
          <w:ilvl w:val="2"/>
          <w:numId w:val="6"/>
        </w:numPr>
        <w:tabs>
          <w:tab w:val="left" w:pos="-2127"/>
          <w:tab w:val="left" w:pos="284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Batang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>рішення Вараської міської ради від 28</w:t>
      </w:r>
      <w:r w:rsidRPr="00DB50DC">
        <w:rPr>
          <w:rFonts w:ascii="Times New Roman CYR" w:eastAsia="Batang" w:hAnsi="Times New Roman CYR" w:cs="Times New Roman"/>
          <w:color w:val="000000"/>
          <w:sz w:val="28"/>
          <w:szCs w:val="20"/>
          <w:shd w:val="clear" w:color="auto" w:fill="FFFFFF"/>
          <w:lang w:eastAsia="ru-RU"/>
        </w:rPr>
        <w:t xml:space="preserve"> травня </w:t>
      </w:r>
      <w:r w:rsidRPr="00DB50DC">
        <w:rPr>
          <w:rFonts w:ascii="Times New Roman" w:eastAsia="Batang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 xml:space="preserve">2021 </w:t>
      </w:r>
      <w:r w:rsidRPr="00DB50DC">
        <w:rPr>
          <w:rFonts w:ascii="Times New Roman CYR" w:eastAsia="Batang" w:hAnsi="Times New Roman CYR" w:cs="Times New Roman"/>
          <w:color w:val="000000"/>
          <w:sz w:val="28"/>
          <w:szCs w:val="20"/>
          <w:shd w:val="clear" w:color="auto" w:fill="FFFFFF"/>
          <w:lang w:eastAsia="ru-RU"/>
        </w:rPr>
        <w:t xml:space="preserve">року </w:t>
      </w:r>
      <w:r w:rsidRPr="00DB50DC">
        <w:rPr>
          <w:rFonts w:ascii="Times New Roman" w:eastAsia="Batang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>№ 388 «Про встановлення ставок та пільг із сплати земельного податку»;</w:t>
      </w:r>
    </w:p>
    <w:p w14:paraId="2BD765C0" w14:textId="77777777" w:rsidR="00DB50DC" w:rsidRPr="00DB50DC" w:rsidRDefault="00DB50DC" w:rsidP="00DB50DC">
      <w:pPr>
        <w:numPr>
          <w:ilvl w:val="2"/>
          <w:numId w:val="6"/>
        </w:numPr>
        <w:tabs>
          <w:tab w:val="left" w:pos="-2127"/>
          <w:tab w:val="left" w:pos="284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Batang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lastRenderedPageBreak/>
        <w:t>рішення Вараської міської ради від 25</w:t>
      </w:r>
      <w:r w:rsidRPr="00DB50DC">
        <w:rPr>
          <w:rFonts w:ascii="Times New Roman CYR" w:eastAsia="Batang" w:hAnsi="Times New Roman CYR" w:cs="Times New Roman"/>
          <w:color w:val="000000"/>
          <w:sz w:val="28"/>
          <w:szCs w:val="20"/>
          <w:shd w:val="clear" w:color="auto" w:fill="FFFFFF"/>
          <w:lang w:eastAsia="ru-RU"/>
        </w:rPr>
        <w:t xml:space="preserve"> червня </w:t>
      </w:r>
      <w:r w:rsidRPr="00DB50DC">
        <w:rPr>
          <w:rFonts w:ascii="Times New Roman" w:eastAsia="Batang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>2021</w:t>
      </w:r>
      <w:r w:rsidRPr="00DB50DC">
        <w:rPr>
          <w:rFonts w:ascii="Times New Roman CYR" w:eastAsia="Batang" w:hAnsi="Times New Roman CYR" w:cs="Times New Roman"/>
          <w:color w:val="000000"/>
          <w:sz w:val="28"/>
          <w:szCs w:val="20"/>
          <w:shd w:val="clear" w:color="auto" w:fill="FFFFFF"/>
          <w:lang w:eastAsia="ru-RU"/>
        </w:rPr>
        <w:t xml:space="preserve"> року</w:t>
      </w:r>
      <w:r w:rsidRPr="00DB50DC">
        <w:rPr>
          <w:rFonts w:ascii="Times New Roman" w:eastAsia="Batang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 xml:space="preserve"> № 530 «Про встановлення ставок та пільг із сплати податку на нерухоме майно, відмінне від земельної ділянки».</w:t>
      </w:r>
    </w:p>
    <w:p w14:paraId="0167304D" w14:textId="77777777" w:rsidR="00DB50DC" w:rsidRPr="00DB50DC" w:rsidRDefault="00DB50DC" w:rsidP="00DB50DC">
      <w:pPr>
        <w:numPr>
          <w:ilvl w:val="1"/>
          <w:numId w:val="6"/>
        </w:numPr>
        <w:tabs>
          <w:tab w:val="left" w:pos="-2127"/>
          <w:tab w:val="left" w:pos="284"/>
          <w:tab w:val="left" w:pos="567"/>
          <w:tab w:val="left" w:pos="993"/>
        </w:tabs>
        <w:spacing w:before="120" w:after="0" w:line="240" w:lineRule="auto"/>
        <w:ind w:left="360" w:hanging="360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Batang" w:hAnsi="Times New Roman" w:cs="Times New Roman"/>
          <w:sz w:val="28"/>
          <w:szCs w:val="28"/>
          <w:lang w:eastAsia="ru-RU"/>
        </w:rPr>
        <w:t>Періодичне відстеження:</w:t>
      </w:r>
    </w:p>
    <w:p w14:paraId="6EB49A44" w14:textId="77777777" w:rsidR="00DB50DC" w:rsidRPr="00DB50DC" w:rsidRDefault="00DB50DC" w:rsidP="00DB50DC">
      <w:pPr>
        <w:numPr>
          <w:ilvl w:val="2"/>
          <w:numId w:val="6"/>
        </w:numPr>
        <w:tabs>
          <w:tab w:val="left" w:pos="709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виконавчого комітету </w:t>
      </w:r>
      <w:proofErr w:type="spellStart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Кузнецовської</w:t>
      </w:r>
      <w:proofErr w:type="spellEnd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28 липня 2011 року №157 «Про затвердження Порядку встановлення тарифів на перевезення пасажирів на міських автобусних маршрутах загального користування»;</w:t>
      </w:r>
    </w:p>
    <w:p w14:paraId="218F078F" w14:textId="77777777" w:rsidR="00DB50DC" w:rsidRPr="00DB50DC" w:rsidRDefault="00DB50DC" w:rsidP="00DB50DC">
      <w:pPr>
        <w:numPr>
          <w:ilvl w:val="2"/>
          <w:numId w:val="6"/>
        </w:numPr>
        <w:tabs>
          <w:tab w:val="left" w:pos="709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виконавчого комітету Вараської міської ради від 28 липня 2020 року №187 «Про встановлення тарифу на проїзд міським автомобільним транспортом»;</w:t>
      </w:r>
    </w:p>
    <w:p w14:paraId="0721CAB3" w14:textId="77777777" w:rsidR="00DB50DC" w:rsidRPr="00DB50DC" w:rsidRDefault="00DB50DC" w:rsidP="00DB50DC">
      <w:pPr>
        <w:numPr>
          <w:ilvl w:val="2"/>
          <w:numId w:val="6"/>
        </w:numPr>
        <w:tabs>
          <w:tab w:val="left" w:pos="709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рішення виконавчого комітету </w:t>
      </w:r>
      <w:proofErr w:type="spellStart"/>
      <w:r w:rsidRPr="00DB50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Кузнецовської</w:t>
      </w:r>
      <w:proofErr w:type="spellEnd"/>
      <w:r w:rsidRPr="00DB50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 від 08 липня 2013 року №96 «Про затвердження положення про Порядок проведення на території міста Кузнецовськ виставково-ярмаркової та презентаційної діяльності»;</w:t>
      </w:r>
    </w:p>
    <w:p w14:paraId="3669EF06" w14:textId="77777777" w:rsidR="00DB50DC" w:rsidRPr="00DB50DC" w:rsidRDefault="00DB50DC" w:rsidP="00DB50DC">
      <w:pPr>
        <w:numPr>
          <w:ilvl w:val="2"/>
          <w:numId w:val="6"/>
        </w:numPr>
        <w:tabs>
          <w:tab w:val="left" w:pos="709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proofErr w:type="spellStart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Кузнецовської</w:t>
      </w:r>
      <w:proofErr w:type="spellEnd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29 квітня 2011 року №121 «Про затвердження Правил розміщення зовнішньої реклами в </w:t>
      </w:r>
      <w:proofErr w:type="spellStart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м.Кузнецовськ</w:t>
      </w:r>
      <w:proofErr w:type="spellEnd"/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19038349" w14:textId="77777777" w:rsidR="00DB50DC" w:rsidRPr="00DB50DC" w:rsidRDefault="00DB50DC" w:rsidP="00DB50DC">
      <w:pPr>
        <w:numPr>
          <w:ilvl w:val="2"/>
          <w:numId w:val="6"/>
        </w:numPr>
        <w:tabs>
          <w:tab w:val="left" w:pos="709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рішення виконавчого комітету </w:t>
      </w:r>
      <w:proofErr w:type="spellStart"/>
      <w:r w:rsidRPr="00DB50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Кузнецовської</w:t>
      </w:r>
      <w:proofErr w:type="spellEnd"/>
      <w:r w:rsidRPr="00DB50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 від 17 липня 2014 року №134 «Про затвердження Тимчасового положення про порядок обліку об’єктів нерухомого майна м. Кузнецовськ».</w:t>
      </w:r>
    </w:p>
    <w:p w14:paraId="36D053A6" w14:textId="77777777" w:rsidR="00DB50DC" w:rsidRPr="00DB50DC" w:rsidRDefault="00DB50DC" w:rsidP="00DB50DC">
      <w:pPr>
        <w:spacing w:before="120"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5CFC2" w14:textId="77777777" w:rsidR="00DB50DC" w:rsidRPr="00DB50DC" w:rsidRDefault="00DB50DC" w:rsidP="00DB50DC">
      <w:pPr>
        <w:numPr>
          <w:ilvl w:val="0"/>
          <w:numId w:val="6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Оприлюднення інформації про здійснення регуляторної діяльності</w:t>
      </w:r>
    </w:p>
    <w:p w14:paraId="52A0381E" w14:textId="77777777" w:rsidR="00DB50DC" w:rsidRPr="00DB50DC" w:rsidRDefault="00DB50DC" w:rsidP="00DB50DC">
      <w:pPr>
        <w:numPr>
          <w:ilvl w:val="1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Щорічно готується та оприлюднюється на офіційному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varash-rada.gov.ua у розділі «Регуляторна політика» інформація про здійснення регуляторної діяльності:</w:t>
      </w:r>
    </w:p>
    <w:p w14:paraId="6795AD70" w14:textId="77777777" w:rsidR="00DB50DC" w:rsidRPr="00DB50DC" w:rsidRDefault="00DB50DC" w:rsidP="00DB50DC">
      <w:pPr>
        <w:numPr>
          <w:ilvl w:val="2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діяльності з підготовки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актів, зміни до нього та відповідні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2B9A05" w14:textId="77777777" w:rsidR="00DB50DC" w:rsidRPr="00DB50DC" w:rsidRDefault="00DB50DC" w:rsidP="00DB50DC">
      <w:pPr>
        <w:numPr>
          <w:ilvl w:val="2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 про здійснення державної регуляторної політики виконавчими органами Вараської міської ради;</w:t>
      </w:r>
    </w:p>
    <w:p w14:paraId="47C0A714" w14:textId="77777777" w:rsidR="00DB50DC" w:rsidRPr="00DB50DC" w:rsidRDefault="00DB50DC" w:rsidP="00DB50DC">
      <w:pPr>
        <w:numPr>
          <w:ilvl w:val="2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 діючих регуляторних актів, що постійно оновлюється;</w:t>
      </w:r>
    </w:p>
    <w:p w14:paraId="44D68E72" w14:textId="77777777" w:rsidR="00DB50DC" w:rsidRPr="00DB50DC" w:rsidRDefault="00DB50DC" w:rsidP="00DB50DC">
      <w:pPr>
        <w:numPr>
          <w:ilvl w:val="2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звіти про виконання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відстежень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результативності регуляторних актів;</w:t>
      </w:r>
    </w:p>
    <w:p w14:paraId="76237FA1" w14:textId="77777777" w:rsidR="00DB50DC" w:rsidRPr="00DB50DC" w:rsidRDefault="00DB50DC" w:rsidP="00DB50DC">
      <w:pPr>
        <w:numPr>
          <w:ilvl w:val="2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план-графік проведення заходів з відстеження результативності регуляторних актів, прийнятих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Вараською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міською радою та її виконавчим комітетом;</w:t>
      </w:r>
    </w:p>
    <w:p w14:paraId="4AE449FC" w14:textId="77777777" w:rsidR="00DB50DC" w:rsidRPr="00DB50DC" w:rsidRDefault="00DB50DC" w:rsidP="00DB50DC">
      <w:pPr>
        <w:numPr>
          <w:ilvl w:val="2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повідомлення про оприлюднення регуляторного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змістом визначеним Законом України </w:t>
      </w:r>
      <w:r w:rsidRPr="00DB5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засади державної регуляторної політики у сфері господарської діяльності»;</w:t>
      </w:r>
    </w:p>
    <w:p w14:paraId="32F7242F" w14:textId="77777777" w:rsidR="00DB50DC" w:rsidRPr="00DB50DC" w:rsidRDefault="00DB50DC" w:rsidP="00DB50DC">
      <w:pPr>
        <w:numPr>
          <w:ilvl w:val="2"/>
          <w:numId w:val="6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</w:t>
      </w:r>
      <w:proofErr w:type="spellStart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DB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аналізом регуляторного впливу.</w:t>
      </w:r>
    </w:p>
    <w:p w14:paraId="4E33FE88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color w:val="0000FF"/>
          <w:sz w:val="28"/>
          <w:szCs w:val="28"/>
          <w:lang w:eastAsia="ru-RU"/>
        </w:rPr>
      </w:pPr>
    </w:p>
    <w:p w14:paraId="3BB890FB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color w:val="0000FF"/>
          <w:sz w:val="28"/>
          <w:szCs w:val="28"/>
          <w:lang w:eastAsia="ru-RU"/>
        </w:rPr>
      </w:pPr>
    </w:p>
    <w:p w14:paraId="329EC467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color w:val="0000FF"/>
          <w:sz w:val="28"/>
          <w:szCs w:val="28"/>
          <w:lang w:eastAsia="ru-RU"/>
        </w:rPr>
      </w:pPr>
    </w:p>
    <w:p w14:paraId="0FE16762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DB50D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Міський голова                                                                      Олександр МЕНЗУЛ</w:t>
      </w:r>
    </w:p>
    <w:p w14:paraId="5547C469" w14:textId="77777777" w:rsidR="00DB50DC" w:rsidRPr="00DB50DC" w:rsidRDefault="00DB50DC" w:rsidP="00DB50DC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3D46D79F" w14:textId="77777777" w:rsidR="005F651E" w:rsidRDefault="00AE50E4"/>
    <w:sectPr w:rsidR="005F651E" w:rsidSect="00272C2B">
      <w:headerReference w:type="default" r:id="rId10"/>
      <w:headerReference w:type="first" r:id="rId11"/>
      <w:pgSz w:w="11907" w:h="16834"/>
      <w:pgMar w:top="1135" w:right="567" w:bottom="2127" w:left="1701" w:header="567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57FD4" w14:textId="77777777" w:rsidR="00E10D68" w:rsidRDefault="00E10D68">
      <w:pPr>
        <w:spacing w:after="0" w:line="240" w:lineRule="auto"/>
      </w:pPr>
      <w:r>
        <w:separator/>
      </w:r>
    </w:p>
  </w:endnote>
  <w:endnote w:type="continuationSeparator" w:id="0">
    <w:p w14:paraId="6F1FDE3B" w14:textId="77777777" w:rsidR="00E10D68" w:rsidRDefault="00E1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6CA7" w14:textId="77777777" w:rsidR="00272C2B" w:rsidRDefault="00AE50E4">
    <w:pPr>
      <w:pStyle w:val="a5"/>
      <w:jc w:val="center"/>
    </w:pPr>
  </w:p>
  <w:p w14:paraId="536B1E87" w14:textId="77777777" w:rsidR="00272C2B" w:rsidRDefault="00AE50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697C4" w14:textId="77777777" w:rsidR="00E10D68" w:rsidRDefault="00E10D68">
      <w:pPr>
        <w:spacing w:after="0" w:line="240" w:lineRule="auto"/>
      </w:pPr>
      <w:r>
        <w:separator/>
      </w:r>
    </w:p>
  </w:footnote>
  <w:footnote w:type="continuationSeparator" w:id="0">
    <w:p w14:paraId="065EAB4E" w14:textId="77777777" w:rsidR="00E10D68" w:rsidRDefault="00E1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5B27" w14:textId="77777777" w:rsidR="00272C2B" w:rsidRDefault="007077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178DA2E" w14:textId="77777777" w:rsidR="00272C2B" w:rsidRDefault="00AE50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513FE" w14:textId="024924BA" w:rsidR="005E063D" w:rsidRDefault="007077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50E4">
      <w:rPr>
        <w:noProof/>
      </w:rPr>
      <w:t>6</w:t>
    </w:r>
    <w:r>
      <w:fldChar w:fldCharType="end"/>
    </w:r>
  </w:p>
  <w:p w14:paraId="15BCCF9E" w14:textId="77777777" w:rsidR="005E063D" w:rsidRDefault="00AE50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DFD5" w14:textId="77777777" w:rsidR="00EF1CA9" w:rsidRDefault="00AE50E4">
    <w:pPr>
      <w:pStyle w:val="a3"/>
      <w:jc w:val="center"/>
    </w:pPr>
  </w:p>
  <w:p w14:paraId="3B2CB51D" w14:textId="77777777" w:rsidR="00EF1CA9" w:rsidRDefault="00AE50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CE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EC2D5F"/>
    <w:multiLevelType w:val="multilevel"/>
    <w:tmpl w:val="DD549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000059"/>
    <w:multiLevelType w:val="multilevel"/>
    <w:tmpl w:val="286615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723020"/>
    <w:multiLevelType w:val="multilevel"/>
    <w:tmpl w:val="10A26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B35B9A"/>
    <w:multiLevelType w:val="multilevel"/>
    <w:tmpl w:val="9710D9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741426"/>
    <w:multiLevelType w:val="multilevel"/>
    <w:tmpl w:val="52EA3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E2573F"/>
    <w:multiLevelType w:val="multilevel"/>
    <w:tmpl w:val="523E7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BBC58A7"/>
    <w:multiLevelType w:val="multilevel"/>
    <w:tmpl w:val="DD36F9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7D1FE1"/>
    <w:multiLevelType w:val="multilevel"/>
    <w:tmpl w:val="D72A0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DC"/>
    <w:rsid w:val="0010738A"/>
    <w:rsid w:val="00707733"/>
    <w:rsid w:val="008550A5"/>
    <w:rsid w:val="00AE50E4"/>
    <w:rsid w:val="00DB50DC"/>
    <w:rsid w:val="00E10D68"/>
    <w:rsid w:val="00E41558"/>
    <w:rsid w:val="00F1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8588A"/>
  <w15:chartTrackingRefBased/>
  <w15:docId w15:val="{80F9D6AE-3DFD-4E0E-AE7B-B34EB956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50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50DC"/>
  </w:style>
  <w:style w:type="paragraph" w:styleId="a5">
    <w:name w:val="footer"/>
    <w:basedOn w:val="a"/>
    <w:link w:val="a6"/>
    <w:uiPriority w:val="99"/>
    <w:semiHidden/>
    <w:unhideWhenUsed/>
    <w:rsid w:val="00DB50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Lytay</cp:lastModifiedBy>
  <cp:revision>2</cp:revision>
  <cp:lastPrinted>2023-02-13T09:39:00Z</cp:lastPrinted>
  <dcterms:created xsi:type="dcterms:W3CDTF">2023-02-14T07:03:00Z</dcterms:created>
  <dcterms:modified xsi:type="dcterms:W3CDTF">2023-02-14T07:03:00Z</dcterms:modified>
</cp:coreProperties>
</file>