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DC5E2" w14:textId="77777777"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Додаток 2  </w:t>
      </w:r>
    </w:p>
    <w:p w14:paraId="527D33E3" w14:textId="77777777"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14:paraId="283C5B91" w14:textId="1BBAECAE"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="007312B4">
        <w:rPr>
          <w:rFonts w:eastAsia="Times New Roman" w:cs="Times New Roman"/>
          <w:sz w:val="28"/>
          <w:szCs w:val="28"/>
          <w:lang w:val="uk-UA"/>
        </w:rPr>
        <w:t>06 грудня</w:t>
      </w:r>
      <w:r w:rsidRPr="00896992">
        <w:rPr>
          <w:rFonts w:eastAsia="Times New Roman" w:cs="Times New Roman"/>
          <w:sz w:val="28"/>
          <w:szCs w:val="28"/>
          <w:lang w:val="uk-UA"/>
        </w:rPr>
        <w:t xml:space="preserve">   2022 року № </w:t>
      </w:r>
      <w:r w:rsidR="007312B4">
        <w:rPr>
          <w:rFonts w:eastAsia="Times New Roman" w:cs="Times New Roman"/>
          <w:sz w:val="28"/>
          <w:szCs w:val="28"/>
          <w:lang w:val="uk-UA"/>
        </w:rPr>
        <w:t>436-РВ-22</w:t>
      </w:r>
      <w:bookmarkStart w:id="0" w:name="_GoBack"/>
      <w:bookmarkEnd w:id="0"/>
      <w:r w:rsidRPr="00896992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14:paraId="2E9183D2" w14:textId="77777777" w:rsidR="00896992" w:rsidRPr="00896992" w:rsidRDefault="00896992" w:rsidP="00896992">
      <w:pPr>
        <w:widowControl w:val="0"/>
        <w:rPr>
          <w:rFonts w:eastAsia="Times New Roman" w:cs="Times New Roman"/>
          <w:lang w:val="uk-UA"/>
        </w:rPr>
      </w:pPr>
    </w:p>
    <w:p w14:paraId="1F7AE755" w14:textId="77777777" w:rsidR="00896992" w:rsidRPr="00896992" w:rsidRDefault="00896992" w:rsidP="00896992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896992">
        <w:rPr>
          <w:rFonts w:eastAsia="Times New Roman" w:cs="Times New Roman"/>
          <w:b/>
          <w:sz w:val="28"/>
          <w:szCs w:val="28"/>
          <w:lang w:val="uk-UA"/>
        </w:rPr>
        <w:t>Структура</w:t>
      </w:r>
    </w:p>
    <w:tbl>
      <w:tblPr>
        <w:tblW w:w="986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"/>
        <w:gridCol w:w="567"/>
        <w:gridCol w:w="2407"/>
        <w:gridCol w:w="712"/>
        <w:gridCol w:w="850"/>
        <w:gridCol w:w="567"/>
        <w:gridCol w:w="851"/>
        <w:gridCol w:w="709"/>
        <w:gridCol w:w="850"/>
        <w:gridCol w:w="709"/>
        <w:gridCol w:w="709"/>
        <w:gridCol w:w="708"/>
        <w:gridCol w:w="191"/>
      </w:tblGrid>
      <w:tr w:rsidR="00896992" w:rsidRPr="00896992" w14:paraId="7504B8C8" w14:textId="77777777" w:rsidTr="00670404">
        <w:trPr>
          <w:gridBefore w:val="1"/>
          <w:wBefore w:w="30" w:type="dxa"/>
          <w:trHeight w:val="262"/>
        </w:trPr>
        <w:tc>
          <w:tcPr>
            <w:tcW w:w="9830" w:type="dxa"/>
            <w:gridSpan w:val="12"/>
            <w:hideMark/>
          </w:tcPr>
          <w:p w14:paraId="49096BC4" w14:textId="77777777" w:rsidR="00896992" w:rsidRPr="00896992" w:rsidRDefault="00896992" w:rsidP="00896992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повної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собівартості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середньозваженого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тарифу на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централізоване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96992">
              <w:rPr>
                <w:rFonts w:eastAsia="Times New Roman" w:cs="Times New Roman"/>
                <w:b/>
                <w:sz w:val="28"/>
                <w:lang w:val="uk-UA"/>
              </w:rPr>
              <w:t>з 01.01.2023 року</w:t>
            </w:r>
          </w:p>
          <w:p w14:paraId="09780769" w14:textId="77777777" w:rsidR="00896992" w:rsidRPr="00896992" w:rsidRDefault="00896992" w:rsidP="00896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5CC10C60" w14:textId="77777777" w:rsidR="00896992" w:rsidRPr="00896992" w:rsidRDefault="00896992" w:rsidP="0089699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896992">
              <w:rPr>
                <w:rFonts w:eastAsia="Times New Roman" w:cs="Times New Roman"/>
                <w:bCs/>
                <w:color w:val="000000"/>
                <w:sz w:val="18"/>
                <w:szCs w:val="18"/>
                <w:lang w:val="uk-UA"/>
              </w:rPr>
              <w:t>(без ПДВ)</w:t>
            </w:r>
          </w:p>
        </w:tc>
      </w:tr>
      <w:tr w:rsidR="00896992" w:rsidRPr="00896992" w14:paraId="66DFBD6D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55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31BEC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№ з/п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7198E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Показник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0405B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Код рядка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5B82F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Фактично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BBF68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ED66B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8B6EB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3980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Передбачено діючим тарифом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8C492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Плановий період</w:t>
            </w:r>
          </w:p>
        </w:tc>
      </w:tr>
      <w:tr w:rsidR="00896992" w:rsidRPr="00896992" w14:paraId="66ED0163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751"/>
        </w:trPr>
        <w:tc>
          <w:tcPr>
            <w:tcW w:w="5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2F17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2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6272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9544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3" w:firstLine="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3998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попередній до базового 2020 рік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050F6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базовий період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02BDF8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2ABEA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E084C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53839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240897C0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43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B2DA0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213DE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Виробнича собівартість, усього,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0DCB9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0A470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22416,95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120A5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13,75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E507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18780,67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23FF2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244" w:firstLine="142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16,18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C08C6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 w:hanging="14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  20405,23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94FF2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CE3B5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26804,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88D11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2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25,30</w:t>
            </w:r>
          </w:p>
        </w:tc>
      </w:tr>
      <w:tr w:rsidR="00896992" w:rsidRPr="00896992" w14:paraId="5BEA3899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6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5AA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D3B9E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Прямі матеріальні витрати,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51303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223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11765,36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9A1A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B6A8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5352,7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3F6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4,61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3EAE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4686,49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8226C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4,53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D5630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8072,57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037D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7,62</w:t>
            </w:r>
          </w:p>
        </w:tc>
      </w:tr>
      <w:tr w:rsidR="00896992" w:rsidRPr="00896992" w14:paraId="05B1BDD2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A2018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E22BF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покупна вода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87ADB0" w14:textId="77777777" w:rsidR="00896992" w:rsidRPr="00896992" w:rsidRDefault="00896992" w:rsidP="00896992">
            <w:pPr>
              <w:autoSpaceDE w:val="0"/>
              <w:autoSpaceDN w:val="0"/>
              <w:adjustRightInd w:val="0"/>
              <w:ind w:hanging="113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41F0A8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8303,58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3FC3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5,09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EB626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1658,8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9B2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1,43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4299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BBB8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5FCB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BD33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896992" w:rsidRPr="00896992" w14:paraId="70420DA7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BCB8D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CA4C8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покупна вода у природному стані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A6E3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42FA7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0645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B8F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5BC6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907F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28A8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A59E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7D77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143E6CE9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2B18F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29863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електроенергія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CD4D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44E5C3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3180,98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4FD5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1,95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84F33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3244,57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3016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2,80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A079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3590,8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1FBA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3,47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A7020A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5759,26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2024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5,44</w:t>
            </w:r>
          </w:p>
        </w:tc>
      </w:tr>
      <w:tr w:rsidR="00896992" w:rsidRPr="00896992" w14:paraId="505CC3F7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4D793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EED55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прямі матеріальні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3A1E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D780F51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308,63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0409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B84A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489,90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D3C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0,42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94BF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1095,69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4438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F9B7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2313,31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BDCA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2,18</w:t>
            </w:r>
          </w:p>
        </w:tc>
      </w:tr>
      <w:tr w:rsidR="00896992" w:rsidRPr="00896992" w14:paraId="615AB40E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6B7A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FF168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Прямі витрати на оплату праці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D130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FFFAAEB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4708,69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CB5C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2,89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E31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5893,26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6B13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5,08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A6BF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7503,33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CD7C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E6FC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8561,69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28BD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8,08</w:t>
            </w:r>
          </w:p>
        </w:tc>
      </w:tr>
      <w:tr w:rsidR="00896992" w:rsidRPr="00896992" w14:paraId="7A49A09C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A62E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17F13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Інші прямі  витрати,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4F49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9C8F669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1161,16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2100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0,71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CEBD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1426,11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0DCD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50B5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1844,5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1879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1,78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B642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2172,55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D094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2,05</w:t>
            </w:r>
          </w:p>
        </w:tc>
      </w:tr>
      <w:tr w:rsidR="00896992" w:rsidRPr="00896992" w14:paraId="283A1493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4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38D3C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6E2DB6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єдиний внесок на загальнообов`язкове державне соціальне страхування працівників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C5CC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7E0514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993,93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F5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0,61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4342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1261,68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14EF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1,09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F971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1650,73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38DF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A237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1883,57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F1A8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1,78</w:t>
            </w:r>
          </w:p>
        </w:tc>
      </w:tr>
      <w:tr w:rsidR="00896992" w:rsidRPr="00896992" w14:paraId="27AA0233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617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0938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527D91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амортизація виробничих основних засобів та нематеріальних активів, безпосередньо пов`язаних з наданням послуг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DD7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E739F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195,06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81B5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CB0B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205,03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34DF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2EA7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193,77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B0E5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0D66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288,98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ED26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0,27</w:t>
            </w:r>
          </w:p>
        </w:tc>
      </w:tr>
      <w:tr w:rsidR="00896992" w:rsidRPr="00896992" w14:paraId="667178C0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3170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7195F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прямі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5235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CB95B3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-27,83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CC63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-0,02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DDEA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-40,60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3E4B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-0,04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9385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3138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03B0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4EBA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896992" w:rsidRPr="00896992" w14:paraId="12F10B8B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24D1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46869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Загальновиробничі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6640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C9933B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4781,74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C62E4E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2,93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F3521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6108,60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A1521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5,26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D6068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6370,91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C462C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6,15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E0E0C9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7997,29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05BB5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7,55</w:t>
            </w:r>
          </w:p>
        </w:tc>
      </w:tr>
      <w:tr w:rsidR="00896992" w:rsidRPr="00896992" w14:paraId="06B1CE0F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48E8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D2310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Адміністративні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7225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D9D0B1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2653,15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CBF671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1,63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5E1DEC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2841,67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52D405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2,45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09B8E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3115,85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0715F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3,01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EE35AD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3742,81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3217C7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3,53</w:t>
            </w:r>
          </w:p>
        </w:tc>
      </w:tr>
      <w:tr w:rsidR="00896992" w:rsidRPr="00896992" w14:paraId="3FCB3BF6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AD89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2BD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Витрати на збут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2BB2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2F3AA7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957,04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8DFF132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0,59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234F41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502,60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483EF0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0,43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763BC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267,38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DF555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0D90E7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519,22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20BF53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0,49</w:t>
            </w:r>
          </w:p>
        </w:tc>
      </w:tr>
      <w:tr w:rsidR="00896992" w:rsidRPr="00896992" w14:paraId="0D7E0FDD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830C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54EAB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операційні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A7A51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75AC0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4D98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B476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FD97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6A54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EDEE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AC69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0A9C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5CFEA1C0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393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7126E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Фінансові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FACDD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B6AC2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8581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791F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6978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EF83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4E3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AEA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40CD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6FEC13C7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01B5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4C0BA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Усього витрат повної собівартості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12724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B76F1A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26027,13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E19B5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CDF6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22124,93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2C05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AA31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23788,46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FE4D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A5E5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31066,13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170A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14:paraId="36414885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FBA6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E8D55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Витрати на відшкодування втрат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60CB2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5E3F6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B3410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DD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A6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39710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307C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ECB3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5E57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298CAE8C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71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7EFE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C6097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Плановий прибуток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E2669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87473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4BD7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A52A9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5FAAB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4E95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9D90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78A3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EC51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2FF8978F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09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EF9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3B584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Податок на прибуток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175E0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DDFB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B844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DC23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CE0F44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080D0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E8991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E45CF2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284C0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408E14ED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B109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7F07B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Чистий прибуток,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717C1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3782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6D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FF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FC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C9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4B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6B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6F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21952E2F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59C1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20FF3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дивіденди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A9ED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1C757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374D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36BD7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104CA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58D61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1A182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1C99D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4747A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6435761A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98A5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lastRenderedPageBreak/>
              <w:t>8.2.2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D9143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резервний фонд( капітал)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1A86D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B3B53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3C6B1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1E4C58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7A3E5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B6139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19E05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C15A8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3BBBC59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4D2E55CE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43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0A021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C0648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на розвиток виробництва (виробничі інвестиції)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59A80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03DB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E7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BC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E0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6E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26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593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F5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56D147E7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E919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3E17D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інше використання прибутку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2E428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BA8E1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E9841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7D0C4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4C899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47F7A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F443D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DB733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DFABD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3E99B741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9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0441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9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19BD2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Вартість водопостачання споживачам за відповідними тарифами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3A33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59BD09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26027,13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01B9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A6CEF00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22124,9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0198FD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B017D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23788,46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8EE8F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8D555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31066,13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0F576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14:paraId="022D4872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8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1D7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F4ACC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Обсяг водопостачання споживачам, зокрема на потреби: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57BE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7E45AD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1629,80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43B6A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C2A5A5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1160,78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5977B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5394D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817CE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A2903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1059,31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83CBC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36B9F666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0E4E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4132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 xml:space="preserve">населення 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3EC6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5067E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1437,84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AF163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F4C54D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1014,50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41FC2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73549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899,07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7FDD7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60378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923,13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3F4EA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0FC04460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50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E7FB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5A4EE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бюджетних установ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5336D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C2A4E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3D169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99B066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10FC5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AD73C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3FF2A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4D14EA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280E7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67987575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6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BD97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3563F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інших споживачів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06D7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E3C85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106,39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88A8B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BD2D81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876A1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FE692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149A6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73C22C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75,62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ECF5A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7CF51D81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9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F046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F9C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інших водопровідно-каналізаційних господарств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16EC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295B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D7534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A24F3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C5D6F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D3FB1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53D6B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617AB4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AD432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14:paraId="57B8BD2F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9D9D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80B29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Середньозважений тариф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12B3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грн/м3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3B89F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0EE64DC" w14:textId="77777777"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A00F2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716E1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98642E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48290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5AD618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D44DC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14:paraId="360F2AC5" w14:textId="77777777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E918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2C611579" w14:textId="77777777"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381965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71DAE7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E7B27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B5BA25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B30B83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CD73FB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E76AC2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F750A6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DD9E50" w14:textId="77777777"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</w:tbl>
    <w:p w14:paraId="7EE89AE2" w14:textId="77777777" w:rsidR="00896992" w:rsidRPr="00896992" w:rsidRDefault="00896992" w:rsidP="00896992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3C8ACFB4" w14:textId="77777777"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14:paraId="344F131E" w14:textId="77777777"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589D40DC" w14:textId="77777777"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3CE2565" w14:textId="77777777"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67D55A1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9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12B4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992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0189"/>
  <w15:chartTrackingRefBased/>
  <w15:docId w15:val="{ACAD2562-C9AF-4B85-A046-AE80B93F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1935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2022-12-07T13:10:00Z</dcterms:created>
  <dcterms:modified xsi:type="dcterms:W3CDTF">2022-12-07T13:10:00Z</dcterms:modified>
</cp:coreProperties>
</file>