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4606" w14:textId="77777777" w:rsidR="00C001BB" w:rsidRDefault="00C001BB" w:rsidP="00C001BB">
      <w:pPr>
        <w:widowControl w:val="0"/>
        <w:autoSpaceDE w:val="0"/>
        <w:autoSpaceDN w:val="0"/>
        <w:spacing w:before="10" w:line="480" w:lineRule="auto"/>
        <w:ind w:left="3126" w:right="3115"/>
        <w:jc w:val="center"/>
        <w:outlineLvl w:val="0"/>
        <w:rPr>
          <w:rFonts w:eastAsia="Times New Roman" w:cs="Times New Roman"/>
          <w:b/>
          <w:bCs/>
          <w:color w:val="000080"/>
          <w:sz w:val="28"/>
          <w:szCs w:val="28"/>
          <w:lang w:val="uk-UA" w:eastAsia="en-US"/>
        </w:rPr>
      </w:pPr>
      <w:r w:rsidRPr="00C001BB">
        <w:rPr>
          <w:rFonts w:eastAsia="Times New Roman" w:cs="Times New Roman"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0B8CEC64" wp14:editId="38555FBE">
            <wp:simplePos x="0" y="0"/>
            <wp:positionH relativeFrom="page">
              <wp:posOffset>3700145</wp:posOffset>
            </wp:positionH>
            <wp:positionV relativeFrom="paragraph">
              <wp:posOffset>132715</wp:posOffset>
            </wp:positionV>
            <wp:extent cx="395223" cy="5525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23" cy="55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8438E2" w14:textId="77777777" w:rsidR="00C001BB" w:rsidRDefault="00C001BB" w:rsidP="00C001BB">
      <w:pPr>
        <w:widowControl w:val="0"/>
        <w:autoSpaceDE w:val="0"/>
        <w:autoSpaceDN w:val="0"/>
        <w:spacing w:before="10" w:line="480" w:lineRule="auto"/>
        <w:ind w:left="3126" w:right="3115"/>
        <w:jc w:val="center"/>
        <w:outlineLvl w:val="0"/>
        <w:rPr>
          <w:rFonts w:eastAsia="Times New Roman" w:cs="Times New Roman"/>
          <w:b/>
          <w:bCs/>
          <w:color w:val="000080"/>
          <w:sz w:val="28"/>
          <w:szCs w:val="28"/>
          <w:lang w:val="uk-UA" w:eastAsia="en-US"/>
        </w:rPr>
      </w:pPr>
    </w:p>
    <w:p w14:paraId="1BD08CEA" w14:textId="25EA0545" w:rsidR="00432FF7" w:rsidRDefault="00C001BB" w:rsidP="00432FF7">
      <w:pPr>
        <w:widowControl w:val="0"/>
        <w:autoSpaceDE w:val="0"/>
        <w:autoSpaceDN w:val="0"/>
        <w:spacing w:before="10" w:line="480" w:lineRule="auto"/>
        <w:ind w:left="2124" w:right="3115" w:firstLine="708"/>
        <w:jc w:val="center"/>
        <w:outlineLvl w:val="0"/>
        <w:rPr>
          <w:rFonts w:eastAsia="Times New Roman" w:cs="Times New Roman"/>
          <w:b/>
          <w:bCs/>
          <w:color w:val="000080"/>
          <w:spacing w:val="-67"/>
          <w:sz w:val="28"/>
          <w:szCs w:val="28"/>
          <w:lang w:val="uk-UA" w:eastAsia="en-US"/>
        </w:rPr>
      </w:pPr>
      <w:r w:rsidRPr="00C001BB">
        <w:rPr>
          <w:rFonts w:eastAsia="Times New Roman" w:cs="Times New Roman"/>
          <w:b/>
          <w:bCs/>
          <w:color w:val="000080"/>
          <w:sz w:val="28"/>
          <w:szCs w:val="28"/>
          <w:lang w:val="uk-UA" w:eastAsia="en-US"/>
        </w:rPr>
        <w:t>ВАРАСЬКА</w:t>
      </w:r>
      <w:r w:rsidRPr="00C001BB">
        <w:rPr>
          <w:rFonts w:eastAsia="Times New Roman" w:cs="Times New Roman"/>
          <w:b/>
          <w:bCs/>
          <w:color w:val="000080"/>
          <w:spacing w:val="-7"/>
          <w:sz w:val="28"/>
          <w:szCs w:val="28"/>
          <w:lang w:val="uk-UA" w:eastAsia="en-US"/>
        </w:rPr>
        <w:t xml:space="preserve"> </w:t>
      </w:r>
      <w:r w:rsidRPr="00C001BB">
        <w:rPr>
          <w:rFonts w:eastAsia="Times New Roman" w:cs="Times New Roman"/>
          <w:b/>
          <w:bCs/>
          <w:color w:val="000080"/>
          <w:sz w:val="28"/>
          <w:szCs w:val="28"/>
          <w:lang w:val="uk-UA" w:eastAsia="en-US"/>
        </w:rPr>
        <w:t>МІСЬКА</w:t>
      </w:r>
      <w:r w:rsidR="00432FF7">
        <w:rPr>
          <w:rFonts w:eastAsia="Times New Roman" w:cs="Times New Roman"/>
          <w:b/>
          <w:bCs/>
          <w:color w:val="000080"/>
          <w:spacing w:val="-6"/>
          <w:sz w:val="28"/>
          <w:szCs w:val="28"/>
          <w:lang w:val="en-US" w:eastAsia="en-US"/>
        </w:rPr>
        <w:t xml:space="preserve"> </w:t>
      </w:r>
      <w:r w:rsidRPr="00C001BB">
        <w:rPr>
          <w:rFonts w:eastAsia="Times New Roman" w:cs="Times New Roman"/>
          <w:b/>
          <w:bCs/>
          <w:color w:val="000080"/>
          <w:sz w:val="28"/>
          <w:szCs w:val="28"/>
          <w:lang w:val="uk-UA" w:eastAsia="en-US"/>
        </w:rPr>
        <w:t>РАДА</w:t>
      </w:r>
    </w:p>
    <w:p w14:paraId="4C8714BC" w14:textId="7ED3BB97" w:rsidR="00C001BB" w:rsidRPr="00432FF7" w:rsidRDefault="00C001BB" w:rsidP="00432FF7">
      <w:pPr>
        <w:widowControl w:val="0"/>
        <w:autoSpaceDE w:val="0"/>
        <w:autoSpaceDN w:val="0"/>
        <w:spacing w:before="10" w:line="480" w:lineRule="auto"/>
        <w:ind w:left="2124" w:right="3115" w:firstLine="708"/>
        <w:jc w:val="center"/>
        <w:outlineLvl w:val="0"/>
        <w:rPr>
          <w:rFonts w:eastAsia="Times New Roman" w:cs="Times New Roman"/>
          <w:b/>
          <w:bCs/>
          <w:color w:val="000080"/>
          <w:spacing w:val="-6"/>
          <w:sz w:val="28"/>
          <w:szCs w:val="28"/>
          <w:lang w:val="uk-UA" w:eastAsia="en-US"/>
        </w:rPr>
      </w:pPr>
      <w:r w:rsidRPr="00C001BB">
        <w:rPr>
          <w:rFonts w:eastAsia="Times New Roman" w:cs="Times New Roman"/>
          <w:b/>
          <w:bCs/>
          <w:color w:val="000080"/>
          <w:sz w:val="28"/>
          <w:szCs w:val="28"/>
          <w:lang w:val="uk-UA" w:eastAsia="en-US"/>
        </w:rPr>
        <w:t>ВИКОНАВЧИЙ</w:t>
      </w:r>
      <w:r w:rsidRPr="00C001BB">
        <w:rPr>
          <w:rFonts w:eastAsia="Times New Roman" w:cs="Times New Roman"/>
          <w:b/>
          <w:bCs/>
          <w:color w:val="000080"/>
          <w:spacing w:val="-3"/>
          <w:sz w:val="28"/>
          <w:szCs w:val="28"/>
          <w:lang w:val="uk-UA" w:eastAsia="en-US"/>
        </w:rPr>
        <w:t xml:space="preserve"> </w:t>
      </w:r>
      <w:r w:rsidRPr="00C001BB">
        <w:rPr>
          <w:rFonts w:eastAsia="Times New Roman" w:cs="Times New Roman"/>
          <w:b/>
          <w:bCs/>
          <w:color w:val="000080"/>
          <w:sz w:val="28"/>
          <w:szCs w:val="28"/>
          <w:lang w:val="uk-UA" w:eastAsia="en-US"/>
        </w:rPr>
        <w:t>КОМІТЕТ</w:t>
      </w:r>
    </w:p>
    <w:p w14:paraId="753359F1" w14:textId="4B4FF6C7" w:rsidR="00C001BB" w:rsidRPr="00C001BB" w:rsidRDefault="00C001BB" w:rsidP="00C001BB">
      <w:pPr>
        <w:widowControl w:val="0"/>
        <w:tabs>
          <w:tab w:val="left" w:pos="2257"/>
        </w:tabs>
        <w:autoSpaceDE w:val="0"/>
        <w:autoSpaceDN w:val="0"/>
        <w:spacing w:line="363" w:lineRule="exact"/>
        <w:ind w:left="20"/>
        <w:jc w:val="center"/>
        <w:rPr>
          <w:rFonts w:eastAsia="Times New Roman" w:cs="Times New Roman"/>
          <w:b/>
          <w:sz w:val="32"/>
          <w:szCs w:val="22"/>
          <w:lang w:val="uk-UA" w:eastAsia="en-US"/>
        </w:rPr>
      </w:pPr>
      <w:r w:rsidRPr="00C001BB">
        <w:rPr>
          <w:rFonts w:eastAsia="Times New Roman" w:cs="Times New Roman"/>
          <w:b/>
          <w:color w:val="000080"/>
          <w:sz w:val="32"/>
          <w:szCs w:val="22"/>
          <w:lang w:val="uk-UA" w:eastAsia="en-US"/>
        </w:rPr>
        <w:t>Р</w:t>
      </w:r>
      <w:r w:rsidRPr="00C001BB">
        <w:rPr>
          <w:rFonts w:eastAsia="Times New Roman" w:cs="Times New Roman"/>
          <w:b/>
          <w:color w:val="000080"/>
          <w:spacing w:val="2"/>
          <w:sz w:val="32"/>
          <w:szCs w:val="22"/>
          <w:lang w:val="uk-UA" w:eastAsia="en-US"/>
        </w:rPr>
        <w:t xml:space="preserve"> </w:t>
      </w:r>
      <w:r w:rsidRPr="00C001BB">
        <w:rPr>
          <w:rFonts w:eastAsia="Times New Roman" w:cs="Times New Roman"/>
          <w:b/>
          <w:color w:val="000080"/>
          <w:sz w:val="32"/>
          <w:szCs w:val="22"/>
          <w:lang w:val="uk-UA" w:eastAsia="en-US"/>
        </w:rPr>
        <w:t>І</w:t>
      </w:r>
      <w:r w:rsidRPr="00C001BB">
        <w:rPr>
          <w:rFonts w:eastAsia="Times New Roman" w:cs="Times New Roman"/>
          <w:b/>
          <w:color w:val="000080"/>
          <w:spacing w:val="2"/>
          <w:sz w:val="32"/>
          <w:szCs w:val="22"/>
          <w:lang w:val="uk-UA" w:eastAsia="en-US"/>
        </w:rPr>
        <w:t xml:space="preserve"> </w:t>
      </w:r>
      <w:r w:rsidRPr="00C001BB">
        <w:rPr>
          <w:rFonts w:eastAsia="Times New Roman" w:cs="Times New Roman"/>
          <w:b/>
          <w:color w:val="000080"/>
          <w:sz w:val="32"/>
          <w:szCs w:val="22"/>
          <w:lang w:val="uk-UA" w:eastAsia="en-US"/>
        </w:rPr>
        <w:t>Ш</w:t>
      </w:r>
      <w:r w:rsidRPr="00C001BB">
        <w:rPr>
          <w:rFonts w:eastAsia="Times New Roman" w:cs="Times New Roman"/>
          <w:b/>
          <w:color w:val="000080"/>
          <w:spacing w:val="-5"/>
          <w:sz w:val="32"/>
          <w:szCs w:val="22"/>
          <w:lang w:val="uk-UA" w:eastAsia="en-US"/>
        </w:rPr>
        <w:t xml:space="preserve"> </w:t>
      </w:r>
      <w:r w:rsidRPr="00C001BB">
        <w:rPr>
          <w:rFonts w:eastAsia="Times New Roman" w:cs="Times New Roman"/>
          <w:b/>
          <w:color w:val="000080"/>
          <w:sz w:val="32"/>
          <w:szCs w:val="22"/>
          <w:lang w:val="uk-UA" w:eastAsia="en-US"/>
        </w:rPr>
        <w:t>Е</w:t>
      </w:r>
      <w:r w:rsidRPr="00C001BB">
        <w:rPr>
          <w:rFonts w:eastAsia="Times New Roman" w:cs="Times New Roman"/>
          <w:b/>
          <w:color w:val="000080"/>
          <w:spacing w:val="5"/>
          <w:sz w:val="32"/>
          <w:szCs w:val="22"/>
          <w:lang w:val="uk-UA" w:eastAsia="en-US"/>
        </w:rPr>
        <w:t xml:space="preserve"> </w:t>
      </w:r>
      <w:r w:rsidRPr="00C001BB">
        <w:rPr>
          <w:rFonts w:eastAsia="Times New Roman" w:cs="Times New Roman"/>
          <w:b/>
          <w:color w:val="000080"/>
          <w:sz w:val="32"/>
          <w:szCs w:val="22"/>
          <w:lang w:val="uk-UA" w:eastAsia="en-US"/>
        </w:rPr>
        <w:t>Н</w:t>
      </w:r>
      <w:r w:rsidRPr="00C001BB">
        <w:rPr>
          <w:rFonts w:eastAsia="Times New Roman" w:cs="Times New Roman"/>
          <w:b/>
          <w:color w:val="000080"/>
          <w:spacing w:val="-3"/>
          <w:sz w:val="32"/>
          <w:szCs w:val="22"/>
          <w:lang w:val="uk-UA" w:eastAsia="en-US"/>
        </w:rPr>
        <w:t xml:space="preserve"> </w:t>
      </w:r>
      <w:proofErr w:type="spellStart"/>
      <w:r w:rsidRPr="00C001BB">
        <w:rPr>
          <w:rFonts w:eastAsia="Times New Roman" w:cs="Times New Roman"/>
          <w:b/>
          <w:color w:val="000080"/>
          <w:sz w:val="32"/>
          <w:szCs w:val="22"/>
          <w:lang w:val="uk-UA" w:eastAsia="en-US"/>
        </w:rPr>
        <w:t>Н</w:t>
      </w:r>
      <w:proofErr w:type="spellEnd"/>
      <w:r w:rsidRPr="00C001BB">
        <w:rPr>
          <w:rFonts w:eastAsia="Times New Roman" w:cs="Times New Roman"/>
          <w:b/>
          <w:color w:val="000080"/>
          <w:spacing w:val="2"/>
          <w:sz w:val="32"/>
          <w:szCs w:val="22"/>
          <w:lang w:val="uk-UA" w:eastAsia="en-US"/>
        </w:rPr>
        <w:t xml:space="preserve"> </w:t>
      </w:r>
      <w:r w:rsidRPr="00C001BB">
        <w:rPr>
          <w:rFonts w:eastAsia="Times New Roman" w:cs="Times New Roman"/>
          <w:b/>
          <w:color w:val="000080"/>
          <w:sz w:val="32"/>
          <w:szCs w:val="22"/>
          <w:lang w:val="uk-UA" w:eastAsia="en-US"/>
        </w:rPr>
        <w:t>Я</w:t>
      </w:r>
    </w:p>
    <w:p w14:paraId="4E0E7719" w14:textId="77777777" w:rsidR="003D2105" w:rsidRDefault="003D2105">
      <w:pPr>
        <w:rPr>
          <w:lang w:val="uk-UA"/>
        </w:rPr>
      </w:pPr>
    </w:p>
    <w:p w14:paraId="1BFBE05D" w14:textId="54C2731B" w:rsidR="00C001BB" w:rsidRPr="00432FF7" w:rsidRDefault="00432FF7" w:rsidP="00C001BB">
      <w:pPr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26.06</w:t>
      </w:r>
      <w:r w:rsidR="00C001BB" w:rsidRPr="00C001BB">
        <w:rPr>
          <w:sz w:val="28"/>
          <w:szCs w:val="28"/>
        </w:rPr>
        <w:t>.2023</w:t>
      </w:r>
      <w:r w:rsidR="00C001BB">
        <w:rPr>
          <w:sz w:val="28"/>
          <w:szCs w:val="28"/>
        </w:rPr>
        <w:tab/>
      </w:r>
      <w:r w:rsidR="00C001BB">
        <w:rPr>
          <w:sz w:val="28"/>
          <w:szCs w:val="28"/>
        </w:rPr>
        <w:tab/>
      </w:r>
      <w:r w:rsidR="00C001BB">
        <w:rPr>
          <w:sz w:val="28"/>
          <w:szCs w:val="28"/>
        </w:rPr>
        <w:tab/>
      </w:r>
      <w:r w:rsidR="00C001BB">
        <w:rPr>
          <w:sz w:val="28"/>
          <w:szCs w:val="28"/>
        </w:rPr>
        <w:tab/>
      </w:r>
      <w:r w:rsidR="00C001BB">
        <w:rPr>
          <w:sz w:val="28"/>
          <w:szCs w:val="28"/>
        </w:rPr>
        <w:tab/>
      </w:r>
      <w:proofErr w:type="spellStart"/>
      <w:r w:rsidR="00C001BB">
        <w:rPr>
          <w:sz w:val="28"/>
          <w:szCs w:val="28"/>
          <w:lang w:val="uk-UA"/>
        </w:rPr>
        <w:t>м.Вараш</w:t>
      </w:r>
      <w:proofErr w:type="spellEnd"/>
      <w:r w:rsidR="00C001BB">
        <w:rPr>
          <w:sz w:val="28"/>
          <w:szCs w:val="28"/>
          <w:lang w:val="uk-UA"/>
        </w:rPr>
        <w:tab/>
      </w:r>
      <w:r w:rsidR="00C001BB">
        <w:rPr>
          <w:sz w:val="28"/>
          <w:szCs w:val="28"/>
          <w:lang w:val="uk-UA"/>
        </w:rPr>
        <w:tab/>
      </w:r>
      <w:r w:rsidR="00C001BB">
        <w:rPr>
          <w:sz w:val="28"/>
          <w:szCs w:val="28"/>
          <w:lang w:val="uk-UA"/>
        </w:rPr>
        <w:tab/>
      </w:r>
      <w:r w:rsidR="00C001BB" w:rsidRPr="00C001BB">
        <w:rPr>
          <w:sz w:val="28"/>
          <w:szCs w:val="28"/>
        </w:rPr>
        <w:t xml:space="preserve"> </w:t>
      </w:r>
      <w:r w:rsidR="00C001BB">
        <w:rPr>
          <w:sz w:val="28"/>
          <w:szCs w:val="28"/>
          <w:lang w:val="uk-UA"/>
        </w:rPr>
        <w:t>№</w:t>
      </w:r>
      <w:r>
        <w:rPr>
          <w:sz w:val="28"/>
          <w:szCs w:val="28"/>
          <w:lang w:val="en-US"/>
        </w:rPr>
        <w:t>235-</w:t>
      </w:r>
      <w:r>
        <w:rPr>
          <w:sz w:val="28"/>
          <w:szCs w:val="28"/>
          <w:lang w:val="uk-UA"/>
        </w:rPr>
        <w:t>РВ-23</w:t>
      </w:r>
    </w:p>
    <w:p w14:paraId="28DB00F1" w14:textId="77777777" w:rsidR="00C001BB" w:rsidRDefault="00C001BB" w:rsidP="00C001BB">
      <w:pPr>
        <w:rPr>
          <w:sz w:val="28"/>
          <w:szCs w:val="28"/>
        </w:rPr>
      </w:pPr>
    </w:p>
    <w:p w14:paraId="74BFD705" w14:textId="77777777" w:rsidR="00C001BB" w:rsidRDefault="00C001BB" w:rsidP="00C001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припинення діяльності </w:t>
      </w:r>
    </w:p>
    <w:p w14:paraId="7EA8C0DE" w14:textId="77777777" w:rsidR="00C001BB" w:rsidRDefault="00C001BB" w:rsidP="00C001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спостережної комісії при </w:t>
      </w:r>
    </w:p>
    <w:p w14:paraId="2AFBEDC6" w14:textId="77777777" w:rsidR="00C001BB" w:rsidRDefault="00C001BB" w:rsidP="00C001B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виконавчому комітеті </w:t>
      </w:r>
    </w:p>
    <w:p w14:paraId="1DDD98C7" w14:textId="77777777" w:rsidR="00C001BB" w:rsidRDefault="00C001BB" w:rsidP="00C001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14:paraId="593AC795" w14:textId="77777777" w:rsidR="00C001BB" w:rsidRDefault="00C001BB" w:rsidP="00C001BB">
      <w:pPr>
        <w:rPr>
          <w:sz w:val="28"/>
          <w:szCs w:val="28"/>
        </w:rPr>
      </w:pPr>
    </w:p>
    <w:p w14:paraId="3F078F4C" w14:textId="77777777" w:rsidR="00C001BB" w:rsidRDefault="00C001BB" w:rsidP="00C001BB">
      <w:pPr>
        <w:pStyle w:val="Default"/>
      </w:pPr>
    </w:p>
    <w:p w14:paraId="20112D3B" w14:textId="77777777" w:rsidR="00C001BB" w:rsidRDefault="00C001BB" w:rsidP="00C001BB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tab/>
      </w:r>
      <w:r>
        <w:rPr>
          <w:sz w:val="28"/>
          <w:szCs w:val="28"/>
        </w:rPr>
        <w:t xml:space="preserve">У зв’язку із прийняттям постанови Кабінету Міністрів України від 25 листопада 2022 року № 1314 </w:t>
      </w:r>
      <w:r>
        <w:rPr>
          <w:b/>
          <w:bCs/>
          <w:sz w:val="28"/>
          <w:szCs w:val="28"/>
        </w:rPr>
        <w:t>«</w:t>
      </w:r>
      <w:r>
        <w:rPr>
          <w:sz w:val="28"/>
          <w:szCs w:val="28"/>
        </w:rPr>
        <w:t xml:space="preserve">Про внесення змін до Положення про спостережні комісії», відповідно до пункту 1 Положення про спостережні комісії, затвердженого постановою Кабінету Міністрів України від 1 квітня 2004 року № 429 «Про затвердження положень про спостережні комісії та піклувальні ради при спеціальних виховних установах», керуючись статтями 40, 59 Закону України «Про місцеве самоврядування в Україні», виконавчий комітет міської ради </w:t>
      </w:r>
    </w:p>
    <w:p w14:paraId="4E00E302" w14:textId="77777777" w:rsidR="00C001BB" w:rsidRDefault="00C001BB" w:rsidP="00C001BB">
      <w:pPr>
        <w:pStyle w:val="Default"/>
        <w:jc w:val="both"/>
        <w:rPr>
          <w:sz w:val="28"/>
          <w:szCs w:val="28"/>
        </w:rPr>
      </w:pPr>
    </w:p>
    <w:p w14:paraId="1311B4DF" w14:textId="77777777" w:rsidR="00C001BB" w:rsidRDefault="00C001BB" w:rsidP="00C001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14:paraId="29548D21" w14:textId="77777777" w:rsidR="00C001BB" w:rsidRDefault="00C001BB" w:rsidP="00C001BB">
      <w:pPr>
        <w:pStyle w:val="Default"/>
      </w:pPr>
      <w:r>
        <w:t xml:space="preserve"> </w:t>
      </w:r>
    </w:p>
    <w:p w14:paraId="2BB6F4B8" w14:textId="77777777" w:rsidR="00C001BB" w:rsidRDefault="00C001BB" w:rsidP="00C001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Припинити діяльність спостережної комісії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 </w:t>
      </w:r>
    </w:p>
    <w:p w14:paraId="24D7067F" w14:textId="77777777" w:rsidR="00C001BB" w:rsidRDefault="00C001BB" w:rsidP="00C001BB">
      <w:pPr>
        <w:pStyle w:val="Default"/>
        <w:jc w:val="both"/>
        <w:rPr>
          <w:sz w:val="28"/>
          <w:szCs w:val="28"/>
        </w:rPr>
      </w:pPr>
    </w:p>
    <w:p w14:paraId="6820ECD5" w14:textId="77777777" w:rsidR="00C001BB" w:rsidRDefault="00C001BB" w:rsidP="00C001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Визнати таким, що втратили чинність,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20 січня 2021 року №1 «Про затвердження складу спостережної комісії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ради» та від 22 лютого 2022 року №37-РВ-22 «Про внесення змін до рішення виконавчого комітету від 20 січня 2021 року №1 «Про затвердження складу спостережної комісії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ради». </w:t>
      </w:r>
    </w:p>
    <w:p w14:paraId="522A9825" w14:textId="77777777" w:rsidR="00C001BB" w:rsidRDefault="00C001BB" w:rsidP="00C001BB">
      <w:pPr>
        <w:pStyle w:val="Default"/>
        <w:jc w:val="both"/>
        <w:rPr>
          <w:sz w:val="28"/>
          <w:szCs w:val="28"/>
        </w:rPr>
      </w:pPr>
    </w:p>
    <w:p w14:paraId="471BAB71" w14:textId="77777777" w:rsidR="00C001BB" w:rsidRPr="00C001BB" w:rsidRDefault="00C001BB" w:rsidP="00C001B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sectPr w:rsidR="00C001BB" w:rsidRPr="00C001BB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BB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2FF7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01BB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6AF38"/>
  <w15:chartTrackingRefBased/>
  <w15:docId w15:val="{31C3B7B5-47CF-48A0-967B-2C906BCF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C00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Людмила Козодой</cp:lastModifiedBy>
  <cp:revision>2</cp:revision>
  <dcterms:created xsi:type="dcterms:W3CDTF">2023-06-27T13:25:00Z</dcterms:created>
  <dcterms:modified xsi:type="dcterms:W3CDTF">2023-06-27T13:25:00Z</dcterms:modified>
</cp:coreProperties>
</file>